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Before starting, check the following questions concerning your project idea.</w:t>
      </w:r>
    </w:p>
    <w:p w:rsidR="002E126A" w:rsidRDefault="002E126A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Do you have a vision for a future technology that could make a real difference to our lives?</w:t>
      </w:r>
    </w:p>
    <w:p w:rsidR="002E126A" w:rsidRPr="00AA4A0C" w:rsidRDefault="00495C03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-111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Not sure</w:t>
      </w:r>
      <w:r w:rsidR="00AA4A0C" w:rsidRPr="00AA4A0C">
        <w:rPr>
          <w:lang w:val="en-US"/>
        </w:rPr>
        <w:t xml:space="preserve"> yet</w:t>
      </w:r>
    </w:p>
    <w:p w:rsidR="002E126A" w:rsidRDefault="002E126A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Do you see a p</w:t>
      </w:r>
      <w:r w:rsidR="009534FB">
        <w:rPr>
          <w:b/>
          <w:lang w:val="en-US"/>
        </w:rPr>
        <w:t>l</w:t>
      </w:r>
      <w:r>
        <w:rPr>
          <w:b/>
          <w:lang w:val="en-US"/>
        </w:rPr>
        <w:t>ausible way of achieving the scientific breakthrough that will make this technology possible?</w:t>
      </w:r>
    </w:p>
    <w:p w:rsidR="00AA4A0C" w:rsidRPr="00AA4A0C" w:rsidRDefault="00495C03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0802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14142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</w:t>
      </w:r>
      <w:sdt>
        <w:sdtPr>
          <w:rPr>
            <w:lang w:val="en-US"/>
          </w:rPr>
          <w:id w:val="16916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2E126A" w:rsidRDefault="00CB4C1C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Is your project idea addressed </w:t>
      </w:r>
      <w:r w:rsidR="007360B6">
        <w:rPr>
          <w:b/>
          <w:lang w:val="en-US"/>
        </w:rPr>
        <w:t>to</w:t>
      </w:r>
      <w:r>
        <w:rPr>
          <w:b/>
          <w:lang w:val="en-US"/>
        </w:rPr>
        <w:t xml:space="preserve"> any of these challenges?</w:t>
      </w:r>
    </w:p>
    <w:p w:rsidR="00CB4C1C" w:rsidRPr="00CB4C1C" w:rsidRDefault="00495C03" w:rsidP="00CB4C1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2084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CB4C1C">
        <w:rPr>
          <w:lang w:val="en-US"/>
        </w:rPr>
        <w:t xml:space="preserve"> Yes</w:t>
      </w:r>
      <w:r w:rsidR="00F01027" w:rsidRPr="00CB4C1C">
        <w:rPr>
          <w:lang w:val="en-US"/>
        </w:rPr>
        <w:t xml:space="preserve">    </w:t>
      </w:r>
      <w:hyperlink r:id="rId8" w:history="1">
        <w:r w:rsidR="00CB4C1C" w:rsidRPr="00CB4C1C">
          <w:rPr>
            <w:rStyle w:val="Hipervnculo"/>
            <w:b/>
            <w:bCs/>
            <w:lang w:val="en-US"/>
          </w:rPr>
          <w:t xml:space="preserve">Carbon dioxide and nitrogen management and </w:t>
        </w:r>
        <w:proofErr w:type="spellStart"/>
        <w:r w:rsidR="00CB4C1C" w:rsidRPr="00CB4C1C">
          <w:rPr>
            <w:rStyle w:val="Hipervnculo"/>
            <w:b/>
            <w:bCs/>
            <w:lang w:val="en-US"/>
          </w:rPr>
          <w:t>valorisation</w:t>
        </w:r>
        <w:proofErr w:type="spellEnd"/>
      </w:hyperlink>
      <w:r w:rsidR="00CB4C1C" w:rsidRPr="00CB4C1C">
        <w:rPr>
          <w:b/>
          <w:bCs/>
          <w:lang w:val="en-US"/>
        </w:rPr>
        <w:t>.</w:t>
      </w:r>
    </w:p>
    <w:p w:rsidR="00CB4C1C" w:rsidRPr="00CB4C1C" w:rsidRDefault="00495C03" w:rsidP="00CB4C1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59590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CB4C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CB4C1C">
        <w:rPr>
          <w:lang w:val="en-US"/>
        </w:rPr>
        <w:t xml:space="preserve"> Yes    </w:t>
      </w:r>
      <w:hyperlink r:id="rId9" w:history="1">
        <w:r w:rsidR="00CB4C1C" w:rsidRPr="00CB4C1C">
          <w:rPr>
            <w:rStyle w:val="Hipervnculo"/>
            <w:b/>
            <w:bCs/>
            <w:lang w:val="en-US"/>
          </w:rPr>
          <w:t>Mid to long term and systems integrated energy storage.</w:t>
        </w:r>
      </w:hyperlink>
    </w:p>
    <w:p w:rsidR="00CB4C1C" w:rsidRPr="00CB4C1C" w:rsidRDefault="00495C03" w:rsidP="00CB4C1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</w:pPr>
      <w:sdt>
        <w:sdtPr>
          <w:rPr>
            <w:lang w:val="en-US"/>
          </w:rPr>
          <w:id w:val="-58460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</w:t>
      </w:r>
      <w:hyperlink r:id="rId10" w:history="1">
        <w:bookmarkStart w:id="0" w:name="_Hlk104978747"/>
        <w:proofErr w:type="spellStart"/>
        <w:r w:rsidR="00CB4C1C" w:rsidRPr="0034639F">
          <w:rPr>
            <w:rStyle w:val="Hipervnculo"/>
            <w:b/>
            <w:bCs/>
          </w:rPr>
          <w:t>Cardiogenomics</w:t>
        </w:r>
        <w:bookmarkEnd w:id="0"/>
        <w:proofErr w:type="spellEnd"/>
        <w:r w:rsidR="00CB4C1C" w:rsidRPr="0034639F">
          <w:rPr>
            <w:rStyle w:val="Hipervnculo"/>
            <w:b/>
            <w:bCs/>
          </w:rPr>
          <w:t>.</w:t>
        </w:r>
      </w:hyperlink>
    </w:p>
    <w:p w:rsidR="00CB4C1C" w:rsidRPr="00CB4C1C" w:rsidRDefault="00495C03" w:rsidP="00CB4C1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lang w:val="en-US"/>
        </w:rPr>
      </w:pPr>
      <w:sdt>
        <w:sdtPr>
          <w:rPr>
            <w:lang w:val="en-US"/>
          </w:rPr>
          <w:id w:val="-128233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  </w:t>
      </w:r>
      <w:hyperlink r:id="rId11" w:history="1">
        <w:r w:rsidR="00CB4C1C" w:rsidRPr="0034639F">
          <w:rPr>
            <w:rStyle w:val="Hipervnculo"/>
            <w:b/>
            <w:bCs/>
            <w:lang w:val="en-US"/>
          </w:rPr>
          <w:t>Towards the healthcare continuum: technologies to support a radical shift from episodic to continuous healthcare.</w:t>
        </w:r>
      </w:hyperlink>
    </w:p>
    <w:p w:rsidR="00CB4C1C" w:rsidRPr="00CB4C1C" w:rsidRDefault="00495C03" w:rsidP="00CB4C1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lang w:val="en-US"/>
        </w:rPr>
      </w:pPr>
      <w:sdt>
        <w:sdtPr>
          <w:rPr>
            <w:lang w:val="en-US"/>
          </w:rPr>
          <w:id w:val="-15028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  </w:t>
      </w:r>
      <w:hyperlink r:id="rId12" w:history="1">
        <w:r w:rsidR="00CB4C1C" w:rsidRPr="0034639F">
          <w:rPr>
            <w:rStyle w:val="Hipervnculo"/>
            <w:b/>
            <w:bCs/>
            <w:lang w:val="en-US"/>
          </w:rPr>
          <w:t>DNA-based digital data storage.</w:t>
        </w:r>
      </w:hyperlink>
    </w:p>
    <w:p w:rsidR="00F01027" w:rsidRPr="00DA404C" w:rsidRDefault="00495C03" w:rsidP="00D65CBC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rStyle w:val="Hipervnculo"/>
          <w:color w:val="auto"/>
          <w:u w:val="none"/>
          <w:lang w:val="en-US"/>
        </w:rPr>
      </w:pPr>
      <w:sdt>
        <w:sdtPr>
          <w:rPr>
            <w:lang w:val="en-US"/>
          </w:rPr>
          <w:id w:val="35439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  </w:t>
      </w:r>
      <w:hyperlink r:id="rId13" w:history="1">
        <w:r w:rsidR="00CB4C1C" w:rsidRPr="0034639F">
          <w:rPr>
            <w:rStyle w:val="Hipervnculo"/>
            <w:b/>
            <w:bCs/>
            <w:lang w:val="en-US"/>
          </w:rPr>
          <w:t>Alternative approaches to quantum information processing, communication, and sensing.</w:t>
        </w:r>
      </w:hyperlink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14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15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6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7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will include in your team or </w:t>
      </w:r>
      <w:r w:rsidRPr="00333765">
        <w:rPr>
          <w:b/>
          <w:lang w:val="en-US"/>
        </w:rPr>
        <w:t>consortium indicat</w:t>
      </w:r>
      <w:r w:rsidR="00854CD9" w:rsidRPr="00333765">
        <w:rPr>
          <w:b/>
          <w:lang w:val="en-US"/>
        </w:rPr>
        <w:t>ing</w:t>
      </w:r>
      <w:r w:rsidRPr="00333765">
        <w:rPr>
          <w:b/>
          <w:lang w:val="en-US"/>
        </w:rPr>
        <w:t xml:space="preserve"> country</w:t>
      </w:r>
      <w:bookmarkStart w:id="1" w:name="_Ref104985460"/>
      <w:r w:rsidR="007747F4">
        <w:rPr>
          <w:rStyle w:val="Refdenotaalpie"/>
          <w:b/>
          <w:lang w:val="en-US"/>
        </w:rPr>
        <w:footnoteReference w:id="1"/>
      </w:r>
      <w:bookmarkEnd w:id="1"/>
      <w:r w:rsidRPr="00333765">
        <w:rPr>
          <w:b/>
          <w:lang w:val="en-US"/>
        </w:rPr>
        <w:t xml:space="preserve"> and </w:t>
      </w:r>
      <w:r w:rsidR="00AA4A0C" w:rsidRPr="00333765">
        <w:rPr>
          <w:b/>
          <w:lang w:val="en-US"/>
        </w:rPr>
        <w:t xml:space="preserve">the principal investigator’s </w:t>
      </w:r>
      <w:r w:rsidRPr="00333765">
        <w:rPr>
          <w:b/>
          <w:lang w:val="en-US"/>
        </w:rPr>
        <w:t>name and gender.</w:t>
      </w:r>
    </w:p>
    <w:p w:rsidR="002001E3" w:rsidRDefault="00854CD9" w:rsidP="00D65CBC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854CD9">
        <w:rPr>
          <w:i/>
          <w:lang w:val="en-US"/>
        </w:rPr>
        <w:t xml:space="preserve">Involvement of women and young excellent researchers (ERC, MSCA, </w:t>
      </w:r>
      <w:proofErr w:type="spellStart"/>
      <w:r w:rsidR="00DD525C">
        <w:rPr>
          <w:i/>
          <w:lang w:val="en-US"/>
        </w:rPr>
        <w:t>RyC</w:t>
      </w:r>
      <w:proofErr w:type="spellEnd"/>
      <w:r w:rsidR="00DD525C">
        <w:rPr>
          <w:i/>
          <w:lang w:val="en-US"/>
        </w:rPr>
        <w:t xml:space="preserve">, </w:t>
      </w:r>
      <w:r w:rsidR="00050EEC" w:rsidRPr="00854CD9">
        <w:rPr>
          <w:i/>
          <w:lang w:val="en-US"/>
        </w:rPr>
        <w:t>etc.</w:t>
      </w:r>
      <w:r w:rsidRPr="00854CD9">
        <w:rPr>
          <w:i/>
          <w:lang w:val="en-US"/>
        </w:rPr>
        <w:t xml:space="preserve">) in your </w:t>
      </w:r>
      <w:r w:rsidR="002001E3">
        <w:rPr>
          <w:i/>
          <w:lang w:val="en-US"/>
        </w:rPr>
        <w:t>consortium</w:t>
      </w:r>
      <w:r w:rsidR="00517B95">
        <w:rPr>
          <w:i/>
          <w:lang w:val="en-US"/>
        </w:rPr>
        <w:t xml:space="preserve"> is strongly recommended, as work package leaders</w:t>
      </w:r>
      <w:r w:rsidR="00517B95">
        <w:rPr>
          <w:rStyle w:val="Refdenotaalpie"/>
          <w:i/>
          <w:lang w:val="en-US"/>
        </w:rPr>
        <w:footnoteReference w:id="2"/>
      </w:r>
      <w:r w:rsidR="00517B95">
        <w:rPr>
          <w:i/>
          <w:lang w:val="en-US"/>
        </w:rPr>
        <w:t xml:space="preserve">, also </w:t>
      </w:r>
      <w:r w:rsidR="002001E3">
        <w:rPr>
          <w:i/>
          <w:lang w:val="en-US"/>
        </w:rPr>
        <w:t>women-led SM</w:t>
      </w:r>
      <w:r w:rsidR="007747F4">
        <w:rPr>
          <w:i/>
          <w:lang w:val="en-US"/>
        </w:rPr>
        <w:t>E</w:t>
      </w:r>
      <w:r w:rsidR="007747F4">
        <w:rPr>
          <w:rStyle w:val="Refdenotaalpie"/>
          <w:i/>
          <w:lang w:val="en-US"/>
        </w:rPr>
        <w:footnoteReference w:id="3"/>
      </w:r>
      <w:r w:rsidR="00517B95">
        <w:rPr>
          <w:i/>
          <w:lang w:val="en-US"/>
        </w:rPr>
        <w:t xml:space="preserve"> are encouraged</w:t>
      </w:r>
      <w:r w:rsidR="002001E3">
        <w:rPr>
          <w:i/>
          <w:lang w:val="en-US"/>
        </w:rPr>
        <w:t xml:space="preserve">. </w:t>
      </w:r>
    </w:p>
    <w:p w:rsidR="00495C03" w:rsidRDefault="00495C03" w:rsidP="007360B6">
      <w:pPr>
        <w:shd w:val="clear" w:color="auto" w:fill="E7E6E6" w:themeFill="background2"/>
        <w:spacing w:after="120" w:line="240" w:lineRule="auto"/>
        <w:jc w:val="both"/>
        <w:rPr>
          <w:i/>
          <w:lang w:val="en-US"/>
        </w:rPr>
      </w:pPr>
      <w:bookmarkStart w:id="2" w:name="_GoBack"/>
      <w:bookmarkEnd w:id="2"/>
    </w:p>
    <w:p w:rsidR="00D65CBC" w:rsidRPr="00D65CBC" w:rsidRDefault="00495C03" w:rsidP="007360B6">
      <w:pPr>
        <w:shd w:val="clear" w:color="auto" w:fill="E7E6E6" w:themeFill="background2"/>
        <w:spacing w:after="120" w:line="240" w:lineRule="auto"/>
        <w:jc w:val="both"/>
        <w:rPr>
          <w:i/>
          <w:lang w:val="en-US"/>
        </w:rPr>
      </w:pPr>
      <w:r>
        <w:rPr>
          <w:i/>
          <w:lang w:val="en-US"/>
        </w:rPr>
        <w:t>I</w:t>
      </w:r>
      <w:r w:rsidR="00D65CBC" w:rsidRPr="00D65CBC">
        <w:rPr>
          <w:i/>
          <w:lang w:val="en-US"/>
        </w:rPr>
        <w:t>n</w:t>
      </w:r>
      <w:r>
        <w:rPr>
          <w:i/>
          <w:lang w:val="en-US"/>
        </w:rPr>
        <w:t xml:space="preserve"> the</w:t>
      </w:r>
      <w:r w:rsidR="00D65CBC" w:rsidRPr="00D65CBC">
        <w:rPr>
          <w:i/>
          <w:lang w:val="en-US"/>
        </w:rPr>
        <w:t xml:space="preserve"> case of </w:t>
      </w:r>
      <w:r>
        <w:rPr>
          <w:i/>
          <w:lang w:val="en-US"/>
        </w:rPr>
        <w:t xml:space="preserve">a </w:t>
      </w:r>
      <w:r>
        <w:rPr>
          <w:b/>
          <w:bCs/>
          <w:i/>
          <w:lang w:val="en-US"/>
        </w:rPr>
        <w:t>consortium</w:t>
      </w:r>
      <w:r w:rsidR="00D65CBC" w:rsidRPr="00D65CBC">
        <w:rPr>
          <w:i/>
          <w:lang w:val="en-US"/>
        </w:rPr>
        <w:t xml:space="preserve">, </w:t>
      </w:r>
      <w:r>
        <w:rPr>
          <w:i/>
          <w:lang w:val="en-US"/>
        </w:rPr>
        <w:t>it</w:t>
      </w:r>
      <w:r w:rsidR="00D65CBC" w:rsidRPr="00D65CBC">
        <w:rPr>
          <w:i/>
          <w:lang w:val="en-US"/>
        </w:rPr>
        <w:t xml:space="preserve"> </w:t>
      </w:r>
      <w:r w:rsidR="00DA404C">
        <w:rPr>
          <w:i/>
          <w:lang w:val="en-US"/>
        </w:rPr>
        <w:t>must</w:t>
      </w:r>
      <w:r w:rsidR="00D65CBC" w:rsidRPr="00D65CBC">
        <w:rPr>
          <w:i/>
          <w:lang w:val="en-US"/>
        </w:rPr>
        <w:t xml:space="preserve"> include </w:t>
      </w:r>
      <w:r w:rsidR="00D65CBC" w:rsidRPr="00D65CBC">
        <w:rPr>
          <w:b/>
          <w:bCs/>
          <w:i/>
          <w:lang w:val="en-US"/>
        </w:rPr>
        <w:t xml:space="preserve">at least two </w:t>
      </w:r>
      <w:r w:rsidR="00D65CBC" w:rsidRPr="00D65CBC">
        <w:rPr>
          <w:i/>
          <w:lang w:val="en-US"/>
        </w:rPr>
        <w:t>independent legal entities</w:t>
      </w:r>
      <w:r w:rsidRPr="00495C03">
        <w:rPr>
          <w:i/>
          <w:vertAlign w:val="superscript"/>
          <w:lang w:val="en-US"/>
        </w:rPr>
        <w:fldChar w:fldCharType="begin"/>
      </w:r>
      <w:r w:rsidRPr="00495C03">
        <w:rPr>
          <w:i/>
          <w:vertAlign w:val="superscript"/>
          <w:lang w:val="en-US"/>
        </w:rPr>
        <w:instrText xml:space="preserve"> NOTEREF _Ref104985460 \h </w:instrText>
      </w:r>
      <w:r w:rsidRPr="00495C03">
        <w:rPr>
          <w:i/>
          <w:vertAlign w:val="superscript"/>
          <w:lang w:val="en-US"/>
        </w:rPr>
      </w:r>
      <w:r>
        <w:rPr>
          <w:i/>
          <w:vertAlign w:val="superscript"/>
          <w:lang w:val="en-US"/>
        </w:rPr>
        <w:instrText xml:space="preserve"> \* MERGEFORMAT </w:instrText>
      </w:r>
      <w:r w:rsidRPr="00495C03">
        <w:rPr>
          <w:i/>
          <w:vertAlign w:val="superscript"/>
          <w:lang w:val="en-US"/>
        </w:rPr>
        <w:fldChar w:fldCharType="separate"/>
      </w:r>
      <w:r w:rsidRPr="00495C03">
        <w:rPr>
          <w:i/>
          <w:vertAlign w:val="superscript"/>
          <w:lang w:val="en-US"/>
        </w:rPr>
        <w:t>1</w:t>
      </w:r>
      <w:r w:rsidRPr="00495C03">
        <w:rPr>
          <w:i/>
          <w:vertAlign w:val="superscript"/>
          <w:lang w:val="en-US"/>
        </w:rPr>
        <w:fldChar w:fldCharType="end"/>
      </w:r>
      <w:r w:rsidR="00D65CBC" w:rsidRPr="00D65CBC">
        <w:rPr>
          <w:i/>
          <w:lang w:val="en-US"/>
        </w:rPr>
        <w:t xml:space="preserve">: </w:t>
      </w:r>
    </w:p>
    <w:p w:rsidR="005846EB" w:rsidRPr="00D65CBC" w:rsidRDefault="00DB2878" w:rsidP="007360B6">
      <w:pPr>
        <w:numPr>
          <w:ilvl w:val="0"/>
          <w:numId w:val="6"/>
        </w:numPr>
        <w:shd w:val="clear" w:color="auto" w:fill="E7E6E6" w:themeFill="background2"/>
        <w:spacing w:after="0" w:line="240" w:lineRule="auto"/>
        <w:jc w:val="both"/>
        <w:rPr>
          <w:i/>
          <w:lang w:val="en-US"/>
        </w:rPr>
      </w:pPr>
      <w:r w:rsidRPr="00D65CBC">
        <w:rPr>
          <w:i/>
          <w:lang w:val="en-US"/>
        </w:rPr>
        <w:t xml:space="preserve">Consortia of two </w:t>
      </w:r>
      <w:r w:rsidR="00DA404C">
        <w:rPr>
          <w:i/>
          <w:lang w:val="en-US"/>
        </w:rPr>
        <w:t xml:space="preserve">partners </w:t>
      </w:r>
      <w:r w:rsidRPr="00D65CBC">
        <w:rPr>
          <w:i/>
          <w:lang w:val="en-US"/>
        </w:rPr>
        <w:t>must</w:t>
      </w:r>
      <w:r w:rsidR="00DA404C">
        <w:rPr>
          <w:i/>
          <w:lang w:val="en-US"/>
        </w:rPr>
        <w:t xml:space="preserve"> involve two different Member States or Associated Countries</w:t>
      </w:r>
      <w:r w:rsidRPr="00D65CBC">
        <w:rPr>
          <w:i/>
          <w:lang w:val="en-US"/>
        </w:rPr>
        <w:t>;</w:t>
      </w:r>
    </w:p>
    <w:p w:rsidR="005846EB" w:rsidRPr="00D65CBC" w:rsidRDefault="00DB2878" w:rsidP="007360B6">
      <w:pPr>
        <w:numPr>
          <w:ilvl w:val="0"/>
          <w:numId w:val="6"/>
        </w:numPr>
        <w:shd w:val="clear" w:color="auto" w:fill="E7E6E6" w:themeFill="background2"/>
        <w:spacing w:after="120" w:line="240" w:lineRule="auto"/>
        <w:ind w:left="357" w:hanging="357"/>
        <w:jc w:val="both"/>
        <w:rPr>
          <w:i/>
          <w:lang w:val="en-US"/>
        </w:rPr>
      </w:pPr>
      <w:r w:rsidRPr="00D65CBC">
        <w:rPr>
          <w:b/>
          <w:bCs/>
          <w:i/>
          <w:lang w:val="en-US"/>
        </w:rPr>
        <w:t xml:space="preserve">Consortia of three or above </w:t>
      </w:r>
      <w:r w:rsidRPr="00D65CBC">
        <w:rPr>
          <w:i/>
          <w:lang w:val="en-US"/>
        </w:rPr>
        <w:t>follow standard rules i.e., at least one legal entity must be from a Member State and at least two other independent legal entities, each established in different Member States or Associated Countries;</w:t>
      </w:r>
    </w:p>
    <w:p w:rsidR="00F2058E" w:rsidRPr="00D65CBC" w:rsidRDefault="00D65CBC" w:rsidP="00D65CBC">
      <w:pPr>
        <w:shd w:val="clear" w:color="auto" w:fill="E7E6E6" w:themeFill="background2"/>
        <w:rPr>
          <w:i/>
          <w:lang w:val="en-US"/>
        </w:rPr>
      </w:pPr>
      <w:r w:rsidRPr="00D65CBC">
        <w:rPr>
          <w:i/>
          <w:lang w:val="en-US"/>
        </w:rPr>
        <w:t xml:space="preserve">In the case </w:t>
      </w:r>
      <w:r w:rsidRPr="00D65CBC">
        <w:rPr>
          <w:b/>
          <w:bCs/>
          <w:i/>
          <w:lang w:val="en-US"/>
        </w:rPr>
        <w:t>of</w:t>
      </w:r>
      <w:r w:rsidR="00495C03">
        <w:rPr>
          <w:b/>
          <w:bCs/>
          <w:i/>
          <w:lang w:val="en-US"/>
        </w:rPr>
        <w:t xml:space="preserve"> participation as</w:t>
      </w:r>
      <w:r w:rsidRPr="00D65CBC">
        <w:rPr>
          <w:b/>
          <w:bCs/>
          <w:i/>
          <w:lang w:val="en-US"/>
        </w:rPr>
        <w:t xml:space="preserve"> </w:t>
      </w:r>
      <w:r w:rsidR="00495C03">
        <w:rPr>
          <w:b/>
          <w:bCs/>
          <w:i/>
          <w:lang w:val="en-US"/>
        </w:rPr>
        <w:t xml:space="preserve">a </w:t>
      </w:r>
      <w:r w:rsidRPr="00D65CBC">
        <w:rPr>
          <w:b/>
          <w:bCs/>
          <w:i/>
          <w:lang w:val="en-US"/>
        </w:rPr>
        <w:t>single entity</w:t>
      </w:r>
      <w:r w:rsidRPr="00D65CBC">
        <w:rPr>
          <w:i/>
          <w:lang w:val="en-US"/>
        </w:rPr>
        <w:t xml:space="preserve">, mid-caps and larger companies </w:t>
      </w:r>
      <w:r w:rsidR="00495C03">
        <w:rPr>
          <w:i/>
          <w:lang w:val="en-US"/>
        </w:rPr>
        <w:t xml:space="preserve">are </w:t>
      </w:r>
      <w:r w:rsidRPr="00D65CBC">
        <w:rPr>
          <w:i/>
          <w:lang w:val="en-US"/>
        </w:rPr>
        <w:t xml:space="preserve">not </w:t>
      </w:r>
      <w:r w:rsidR="007360B6">
        <w:rPr>
          <w:i/>
          <w:lang w:val="en-US"/>
        </w:rPr>
        <w:t>eligible.</w:t>
      </w: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 xml:space="preserve">Project idea </w:t>
      </w:r>
    </w:p>
    <w:p w:rsidR="00F2058E" w:rsidRPr="002E126A" w:rsidRDefault="003C23F1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3C23F1">
        <w:rPr>
          <w:i/>
          <w:lang w:val="en-US"/>
        </w:rPr>
        <w:t>How novel and ambitious are the proposed technological breakthroughs with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respect to the state-of-the-art? How relevant and effective are they in achieving the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expected outcomes of the Challenge?</w:t>
      </w:r>
      <w:r w:rsidR="00D724EC">
        <w:rPr>
          <w:i/>
          <w:lang w:val="en-US"/>
        </w:rPr>
        <w:t xml:space="preserve"> </w:t>
      </w: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Objectives of the project</w:t>
      </w:r>
    </w:p>
    <w:p w:rsidR="00F2058E" w:rsidRPr="003C23F1" w:rsidRDefault="003C23F1" w:rsidP="001440C2">
      <w:pPr>
        <w:shd w:val="clear" w:color="auto" w:fill="E7E6E6" w:themeFill="background2"/>
        <w:rPr>
          <w:i/>
          <w:lang w:val="en-US"/>
        </w:rPr>
      </w:pPr>
      <w:r w:rsidRPr="003C23F1">
        <w:rPr>
          <w:i/>
          <w:lang w:val="en-US"/>
        </w:rPr>
        <w:t>How relevant are the project’s objectives in contributing to the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overall goal and the specific objectives of the Challenge?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Long-term vision and impact</w:t>
      </w:r>
      <w:r w:rsidR="009A4016" w:rsidRPr="00333765">
        <w:rPr>
          <w:b/>
          <w:lang w:val="en-US"/>
        </w:rPr>
        <w:t xml:space="preserve"> of the project.</w:t>
      </w:r>
    </w:p>
    <w:p w:rsidR="00DD0B39" w:rsidRDefault="003C23F1" w:rsidP="001440C2">
      <w:pPr>
        <w:shd w:val="clear" w:color="auto" w:fill="E7E6E6" w:themeFill="background2"/>
        <w:rPr>
          <w:i/>
          <w:lang w:val="en-US"/>
        </w:rPr>
      </w:pPr>
      <w:r w:rsidRPr="003C23F1">
        <w:rPr>
          <w:i/>
          <w:lang w:val="en-US"/>
        </w:rPr>
        <w:t>How appropriate are the expected outcomes of the project to contribute</w:t>
      </w:r>
      <w:r w:rsidR="00DB2878">
        <w:rPr>
          <w:i/>
          <w:lang w:val="en-US"/>
        </w:rPr>
        <w:t xml:space="preserve"> </w:t>
      </w:r>
      <w:r w:rsidRPr="003C23F1">
        <w:rPr>
          <w:i/>
          <w:lang w:val="en-US"/>
        </w:rPr>
        <w:t>to the potential economic or social impacts of the Challenge?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 w:rsidR="00DA404C">
        <w:rPr>
          <w:sz w:val="18"/>
          <w:szCs w:val="20"/>
          <w:lang w:val="en-US"/>
        </w:rPr>
        <w:t>Eligible</w:t>
      </w:r>
      <w:r w:rsidR="00DC6DAB" w:rsidRPr="001440C2">
        <w:rPr>
          <w:sz w:val="18"/>
          <w:szCs w:val="20"/>
          <w:lang w:val="en-US"/>
        </w:rPr>
        <w:t xml:space="preserve"> countries: </w:t>
      </w:r>
      <w:r w:rsidR="00CE0B53" w:rsidRPr="001440C2">
        <w:rPr>
          <w:sz w:val="18"/>
          <w:szCs w:val="20"/>
          <w:lang w:val="en-US"/>
        </w:rPr>
        <w:t xml:space="preserve">Member States or </w:t>
      </w:r>
      <w:hyperlink r:id="rId1" w:history="1">
        <w:r w:rsidR="00CE0B53" w:rsidRPr="008C0221">
          <w:rPr>
            <w:rStyle w:val="Hipervnculo"/>
            <w:sz w:val="18"/>
            <w:szCs w:val="20"/>
            <w:lang w:val="en-US"/>
          </w:rPr>
          <w:t>Associated Countries</w:t>
        </w:r>
      </w:hyperlink>
      <w:r w:rsidR="00CE0B53" w:rsidRPr="001440C2">
        <w:rPr>
          <w:sz w:val="18"/>
          <w:szCs w:val="20"/>
          <w:lang w:val="en-US"/>
        </w:rPr>
        <w:t>.</w:t>
      </w:r>
      <w:r w:rsidR="00932EFA">
        <w:rPr>
          <w:sz w:val="18"/>
          <w:szCs w:val="20"/>
          <w:lang w:val="en-US"/>
        </w:rPr>
        <w:t xml:space="preserve"> Eligible entities: universities, research </w:t>
      </w:r>
      <w:r w:rsidR="00050EEC">
        <w:rPr>
          <w:sz w:val="18"/>
          <w:szCs w:val="20"/>
          <w:lang w:val="en-US"/>
        </w:rPr>
        <w:t>organizations</w:t>
      </w:r>
      <w:r w:rsidR="00932EFA">
        <w:rPr>
          <w:sz w:val="18"/>
          <w:szCs w:val="20"/>
          <w:lang w:val="en-US"/>
        </w:rPr>
        <w:t>, SMEs, start-ups, industry.</w:t>
      </w:r>
    </w:p>
  </w:footnote>
  <w:footnote w:id="2">
    <w:p w:rsidR="00517B95" w:rsidRPr="001440C2" w:rsidRDefault="00517B95" w:rsidP="00517B95">
      <w:pPr>
        <w:pStyle w:val="Textonotapie"/>
        <w:rPr>
          <w:sz w:val="18"/>
          <w:lang w:val="en-US"/>
        </w:rPr>
      </w:pPr>
      <w:r w:rsidRPr="001440C2">
        <w:rPr>
          <w:rStyle w:val="Refdenotaalpie"/>
          <w:sz w:val="18"/>
        </w:rPr>
        <w:footnoteRef/>
      </w:r>
      <w:r w:rsidRPr="001440C2">
        <w:rPr>
          <w:sz w:val="18"/>
          <w:lang w:val="en-US"/>
        </w:rPr>
        <w:t xml:space="preserve"> Women-led consortia means consortia where at least 50% of Work Package leaders including the consortium coordinator are women</w:t>
      </w:r>
      <w:r>
        <w:rPr>
          <w:sz w:val="18"/>
          <w:lang w:val="en-US"/>
        </w:rPr>
        <w:t>.</w:t>
      </w:r>
    </w:p>
  </w:footnote>
  <w:footnote w:id="3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Women-led SMEs (including start-ups) means companies where the position of either the Chief Executive Officer, Chief Technology Officer or Chief Scientific Officer is held by a woman at the time of application, interview and award of the EU financial support.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>CONVOCATORIA EIC PATHFINDER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677F"/>
    <w:rsid w:val="00050EEC"/>
    <w:rsid w:val="000A26C6"/>
    <w:rsid w:val="0012340F"/>
    <w:rsid w:val="001440C2"/>
    <w:rsid w:val="00155E84"/>
    <w:rsid w:val="002001E3"/>
    <w:rsid w:val="00270E0C"/>
    <w:rsid w:val="002E126A"/>
    <w:rsid w:val="00303445"/>
    <w:rsid w:val="00311C7C"/>
    <w:rsid w:val="0033131A"/>
    <w:rsid w:val="00333765"/>
    <w:rsid w:val="003C23F1"/>
    <w:rsid w:val="003F37D2"/>
    <w:rsid w:val="0042030D"/>
    <w:rsid w:val="00495C03"/>
    <w:rsid w:val="004E0DD7"/>
    <w:rsid w:val="00517B95"/>
    <w:rsid w:val="00524A7C"/>
    <w:rsid w:val="005846EB"/>
    <w:rsid w:val="005C299D"/>
    <w:rsid w:val="006173B6"/>
    <w:rsid w:val="0064392F"/>
    <w:rsid w:val="00690CC0"/>
    <w:rsid w:val="006B00ED"/>
    <w:rsid w:val="007360B6"/>
    <w:rsid w:val="007747F4"/>
    <w:rsid w:val="00854CD9"/>
    <w:rsid w:val="008B5496"/>
    <w:rsid w:val="008C0221"/>
    <w:rsid w:val="00922643"/>
    <w:rsid w:val="00930905"/>
    <w:rsid w:val="00932EFA"/>
    <w:rsid w:val="009534FB"/>
    <w:rsid w:val="0099393B"/>
    <w:rsid w:val="009A4016"/>
    <w:rsid w:val="00AA4A0C"/>
    <w:rsid w:val="00B74E9D"/>
    <w:rsid w:val="00C70657"/>
    <w:rsid w:val="00CA2EDF"/>
    <w:rsid w:val="00CB4C1C"/>
    <w:rsid w:val="00CE0B53"/>
    <w:rsid w:val="00D65CBC"/>
    <w:rsid w:val="00D724EC"/>
    <w:rsid w:val="00DA404C"/>
    <w:rsid w:val="00DB2878"/>
    <w:rsid w:val="00DC6DAB"/>
    <w:rsid w:val="00DD0B39"/>
    <w:rsid w:val="00DD525C"/>
    <w:rsid w:val="00DE48A1"/>
    <w:rsid w:val="00DF1A1B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5C10CE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c.ec.europa.eu/eic-funding-opportunities/calls-proposals/eic-pathfinder-challenge-carbon-dioxide-and-nitrogen-management-and-valorisation_en" TargetMode="External"/><Relationship Id="rId13" Type="http://schemas.openxmlformats.org/officeDocument/2006/relationships/hyperlink" Target="https://eic.ec.europa.eu/eic-funding-opportunities/calls-proposals/eic-pathfinder-challenge-alternative-approaches-quantum-information-processing-communication-and_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ic.ec.europa.eu/eic-funding-opportunities/calls-proposals/eic-pathfinder-challenge-dna-based-digital-data-storage_en" TargetMode="External"/><Relationship Id="rId17" Type="http://schemas.openxmlformats.org/officeDocument/2006/relationships/hyperlink" Target="https://www.campusiberus.es/inventario-de-actividades-de-tratamiento-de-datos-de-caracter-person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c.ec.europa.eu/eic-funding-opportunities/calls-proposals/eic-pathfinder-challenge-towards-healthcare-continuum-technologies-support-radical-shift-episodic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d@campusiberus.es" TargetMode="External"/><Relationship Id="rId10" Type="http://schemas.openxmlformats.org/officeDocument/2006/relationships/hyperlink" Target="https://eic.ec.europa.eu/eic-funding-opportunities/calls-proposals/eic-pathfinder-challenge-cardiogenomics_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ic.ec.europa.eu/eic-funding-opportunities/calls-proposals/eic-pathfinder-challenge-mid-long-term-and-systems-integrated-energy-storage_en" TargetMode="External"/><Relationship Id="rId14" Type="http://schemas.openxmlformats.org/officeDocument/2006/relationships/hyperlink" Target="mailto:presidente@campusiberu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list-3rd-country-participation_horizon-euratom_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8CE9-43C9-4E09-92E6-EA96ACEB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Nuria Mateo</cp:lastModifiedBy>
  <cp:revision>3</cp:revision>
  <dcterms:created xsi:type="dcterms:W3CDTF">2022-06-01T12:09:00Z</dcterms:created>
  <dcterms:modified xsi:type="dcterms:W3CDTF">2022-06-01T12:20:00Z</dcterms:modified>
</cp:coreProperties>
</file>