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8B5496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acronym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</w:t>
      </w:r>
    </w:p>
    <w:p w:rsidR="00B74E9D" w:rsidRDefault="00B74E9D">
      <w:pPr>
        <w:rPr>
          <w:b/>
          <w:lang w:val="en-US"/>
        </w:rPr>
      </w:pP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Please do not exceed</w:t>
      </w:r>
      <w:r w:rsidR="00FD7E6A" w:rsidRPr="00F83FB9">
        <w:rPr>
          <w:i/>
          <w:lang w:val="en-US"/>
        </w:rPr>
        <w:t xml:space="preserve"> 5 pages in </w:t>
      </w:r>
      <w:r w:rsidRPr="00F83FB9">
        <w:rPr>
          <w:i/>
          <w:lang w:val="en-US"/>
        </w:rPr>
        <w:t>letter type C</w:t>
      </w:r>
      <w:r w:rsidR="00FD7E6A" w:rsidRPr="00F83FB9">
        <w:rPr>
          <w:i/>
          <w:lang w:val="en-US"/>
        </w:rPr>
        <w:t xml:space="preserve">alibri, </w:t>
      </w:r>
      <w:r w:rsidRPr="00F83FB9">
        <w:rPr>
          <w:i/>
          <w:lang w:val="en-US"/>
        </w:rPr>
        <w:t>A</w:t>
      </w:r>
      <w:r w:rsidR="00FD7E6A" w:rsidRPr="00F83FB9">
        <w:rPr>
          <w:i/>
          <w:lang w:val="en-US"/>
        </w:rPr>
        <w:t>rial</w:t>
      </w:r>
      <w:r w:rsidR="00B74E9D">
        <w:rPr>
          <w:i/>
          <w:lang w:val="en-US"/>
        </w:rPr>
        <w:t xml:space="preserve">, </w:t>
      </w:r>
      <w:r w:rsidRPr="00F83FB9">
        <w:rPr>
          <w:i/>
          <w:lang w:val="en-US"/>
        </w:rPr>
        <w:t>N</w:t>
      </w:r>
      <w:r w:rsidR="00FD7E6A" w:rsidRPr="00F83FB9">
        <w:rPr>
          <w:i/>
          <w:lang w:val="en-US"/>
        </w:rPr>
        <w:t xml:space="preserve">ew </w:t>
      </w:r>
      <w:r w:rsidRPr="00F83FB9">
        <w:rPr>
          <w:i/>
          <w:lang w:val="en-US"/>
        </w:rPr>
        <w:t>T</w:t>
      </w:r>
      <w:r w:rsidR="00FD7E6A" w:rsidRPr="00F83FB9">
        <w:rPr>
          <w:i/>
          <w:lang w:val="en-US"/>
        </w:rPr>
        <w:t xml:space="preserve">imes </w:t>
      </w:r>
      <w:r w:rsidRPr="00F83FB9">
        <w:rPr>
          <w:i/>
          <w:lang w:val="en-US"/>
        </w:rPr>
        <w:t>R</w:t>
      </w:r>
      <w:r w:rsidR="00FD7E6A" w:rsidRPr="00F83FB9">
        <w:rPr>
          <w:i/>
          <w:lang w:val="en-US"/>
        </w:rPr>
        <w:t>oman</w:t>
      </w:r>
      <w:r w:rsidR="00B74E9D">
        <w:rPr>
          <w:i/>
          <w:lang w:val="en-US"/>
        </w:rPr>
        <w:t xml:space="preserve"> or similar in</w:t>
      </w:r>
      <w:r w:rsidR="00FD7E6A" w:rsidRPr="00F83FB9">
        <w:rPr>
          <w:i/>
          <w:lang w:val="en-US"/>
        </w:rPr>
        <w:t xml:space="preserve"> size 11</w:t>
      </w:r>
      <w:r w:rsidR="00DD525C">
        <w:rPr>
          <w:i/>
          <w:lang w:val="en-US"/>
        </w:rPr>
        <w:t xml:space="preserve"> </w:t>
      </w:r>
      <w:r w:rsidR="00B74E9D">
        <w:rPr>
          <w:i/>
          <w:lang w:val="en-US"/>
        </w:rPr>
        <w:t xml:space="preserve">and </w:t>
      </w:r>
      <w:r w:rsidR="00DD525C">
        <w:rPr>
          <w:i/>
          <w:lang w:val="en-US"/>
        </w:rPr>
        <w:t>single</w:t>
      </w:r>
      <w:r w:rsidR="00524A7C">
        <w:rPr>
          <w:i/>
          <w:lang w:val="en-US"/>
        </w:rPr>
        <w:t xml:space="preserve"> line spacing</w:t>
      </w:r>
      <w:r w:rsidR="00DD525C">
        <w:rPr>
          <w:i/>
          <w:lang w:val="en-US"/>
        </w:rPr>
        <w:t>.</w:t>
      </w:r>
      <w:r w:rsidR="00524A7C">
        <w:rPr>
          <w:i/>
          <w:lang w:val="en-US"/>
        </w:rPr>
        <w:t xml:space="preserve"> </w:t>
      </w:r>
      <w:r>
        <w:rPr>
          <w:i/>
          <w:lang w:val="en-US"/>
        </w:rPr>
        <w:t>Explana</w:t>
      </w:r>
      <w:r w:rsidR="00524A7C">
        <w:rPr>
          <w:i/>
          <w:lang w:val="en-US"/>
        </w:rPr>
        <w:t>tory text in</w:t>
      </w:r>
      <w:r>
        <w:rPr>
          <w:i/>
          <w:lang w:val="en-US"/>
        </w:rPr>
        <w:t xml:space="preserve"> grey background can be deleted.</w:t>
      </w:r>
    </w:p>
    <w:p w:rsidR="00F01027" w:rsidRDefault="00F01027" w:rsidP="00F01027">
      <w:pPr>
        <w:pBdr>
          <w:bottom w:val="single" w:sz="6" w:space="1" w:color="auto"/>
        </w:pBdr>
        <w:spacing w:before="240"/>
        <w:rPr>
          <w:b/>
          <w:lang w:val="en-US"/>
        </w:rPr>
      </w:pPr>
    </w:p>
    <w:p w:rsidR="00824D0E" w:rsidRDefault="00824D0E" w:rsidP="00F01027">
      <w:pPr>
        <w:pBdr>
          <w:bottom w:val="single" w:sz="6" w:space="1" w:color="auto"/>
        </w:pBdr>
        <w:spacing w:before="240"/>
        <w:rPr>
          <w:b/>
          <w:lang w:val="en-US"/>
        </w:rPr>
      </w:pPr>
    </w:p>
    <w:p w:rsidR="00F01027" w:rsidRPr="00F01027" w:rsidRDefault="00F01027" w:rsidP="00F01027">
      <w:pPr>
        <w:spacing w:before="240"/>
        <w:rPr>
          <w:b/>
          <w:lang w:val="en-US"/>
        </w:rPr>
      </w:pPr>
      <w:r w:rsidRPr="00F01027">
        <w:rPr>
          <w:b/>
          <w:lang w:val="en-US"/>
        </w:rPr>
        <w:t>Data protection notice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r w:rsidR="007668BE">
        <w:fldChar w:fldCharType="begin"/>
      </w:r>
      <w:r w:rsidR="007668BE" w:rsidRPr="00347467">
        <w:rPr>
          <w:lang w:val="en-US"/>
        </w:rPr>
        <w:instrText xml:space="preserve"> HYPERLINK "mailto:presidente@campusiberus.es" </w:instrText>
      </w:r>
      <w:r w:rsidR="007668BE">
        <w:fldChar w:fldCharType="separate"/>
      </w:r>
      <w:r w:rsidRPr="006B00ED">
        <w:rPr>
          <w:rStyle w:val="Hipervnculo"/>
          <w:i/>
          <w:sz w:val="20"/>
          <w:szCs w:val="20"/>
          <w:lang w:val="en-US"/>
        </w:rPr>
        <w:t>presidente</w:t>
      </w:r>
      <w:r w:rsidRPr="006B00ED">
        <w:rPr>
          <w:rStyle w:val="Hipervnculo"/>
          <w:rFonts w:cstheme="minorHAnsi"/>
          <w:i/>
          <w:sz w:val="20"/>
          <w:szCs w:val="20"/>
          <w:lang w:val="en-US"/>
        </w:rPr>
        <w:t>@</w:t>
      </w:r>
      <w:r w:rsidRPr="006B00ED">
        <w:rPr>
          <w:rStyle w:val="Hipervnculo"/>
          <w:i/>
          <w:sz w:val="20"/>
          <w:szCs w:val="20"/>
          <w:lang w:val="en-US"/>
        </w:rPr>
        <w:t>campusiberus.es</w:t>
      </w:r>
      <w:r w:rsidR="007668BE">
        <w:rPr>
          <w:rStyle w:val="Hipervnculo"/>
          <w:i/>
          <w:sz w:val="20"/>
          <w:szCs w:val="20"/>
          <w:lang w:val="en-US"/>
        </w:rPr>
        <w:fldChar w:fldCharType="end"/>
      </w:r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r w:rsidR="007C67A0" w:rsidRPr="006B00ED">
        <w:rPr>
          <w:i/>
          <w:sz w:val="20"/>
          <w:szCs w:val="20"/>
          <w:lang w:val="en-US"/>
        </w:rPr>
        <w:t>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r w:rsidR="007668BE">
        <w:fldChar w:fldCharType="begin"/>
      </w:r>
      <w:r w:rsidR="007668BE" w:rsidRPr="00347467">
        <w:rPr>
          <w:lang w:val="en-US"/>
        </w:rPr>
        <w:instrText xml:space="preserve"> HYPERLINK "mailto:dpd@campusiberus.es</w:instrText>
      </w:r>
      <w:r w:rsidR="007668BE" w:rsidRPr="00347467">
        <w:rPr>
          <w:lang w:val="en-US"/>
        </w:rPr>
        <w:instrText xml:space="preserve">" </w:instrText>
      </w:r>
      <w:r w:rsidR="007668BE">
        <w:fldChar w:fldCharType="separate"/>
      </w:r>
      <w:r w:rsidRPr="006B00ED">
        <w:rPr>
          <w:rStyle w:val="Hipervnculo"/>
          <w:i/>
          <w:sz w:val="20"/>
          <w:szCs w:val="20"/>
          <w:lang w:val="en-US"/>
        </w:rPr>
        <w:t>dpd@campusiberus.es</w:t>
      </w:r>
      <w:r w:rsidR="007668BE">
        <w:rPr>
          <w:rStyle w:val="Hipervnculo"/>
          <w:i/>
          <w:sz w:val="20"/>
          <w:szCs w:val="20"/>
          <w:lang w:val="en-US"/>
        </w:rPr>
        <w:fldChar w:fldCharType="end"/>
      </w:r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r w:rsidR="007668BE">
        <w:fldChar w:fldCharType="begin"/>
      </w:r>
      <w:r w:rsidR="007668BE" w:rsidRPr="00347467">
        <w:rPr>
          <w:lang w:val="en-US"/>
        </w:rPr>
        <w:instrText xml:space="preserve"> HYPERLINK "https://www.aepd.es" </w:instrText>
      </w:r>
      <w:r w:rsidR="007668BE">
        <w:fldChar w:fldCharType="separate"/>
      </w:r>
      <w:r w:rsidRPr="006B00ED">
        <w:rPr>
          <w:rStyle w:val="Hipervnculo"/>
          <w:i/>
          <w:sz w:val="20"/>
          <w:szCs w:val="20"/>
          <w:lang w:val="en-US"/>
        </w:rPr>
        <w:t>https://www.aepd.es</w:t>
      </w:r>
      <w:r w:rsidR="007668BE">
        <w:rPr>
          <w:rStyle w:val="Hipervnculo"/>
          <w:i/>
          <w:sz w:val="20"/>
          <w:szCs w:val="20"/>
          <w:lang w:val="en-US"/>
        </w:rPr>
        <w:fldChar w:fldCharType="end"/>
      </w:r>
    </w:p>
    <w:p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r w:rsidR="007668BE">
        <w:fldChar w:fldCharType="begin"/>
      </w:r>
      <w:r w:rsidR="007668BE" w:rsidRPr="00347467">
        <w:rPr>
          <w:lang w:val="en-US"/>
        </w:rPr>
        <w:instrText xml:space="preserve"> HYPERLINK "https://www.campusiberus.es/inventario-de-actividades-de-tratamiento-de-datos-de-caracter-personal/" </w:instrText>
      </w:r>
      <w:r w:rsidR="007668BE">
        <w:fldChar w:fldCharType="separate"/>
      </w:r>
      <w:r w:rsidRPr="006B00ED">
        <w:rPr>
          <w:rStyle w:val="Hipervnculo"/>
          <w:i/>
          <w:sz w:val="20"/>
          <w:szCs w:val="20"/>
          <w:lang w:val="en-US"/>
        </w:rPr>
        <w:t>https://www.campusiberus.es/inventario-de-actividades-de-tratamiento-de-datos-de-caracter-personal/</w:t>
      </w:r>
      <w:r w:rsidR="007668BE">
        <w:rPr>
          <w:rStyle w:val="Hipervnculo"/>
          <w:i/>
          <w:sz w:val="20"/>
          <w:szCs w:val="20"/>
          <w:lang w:val="en-US"/>
        </w:rPr>
        <w:fldChar w:fldCharType="end"/>
      </w:r>
    </w:p>
    <w:p w:rsidR="0042030D" w:rsidRDefault="00F01027">
      <w:pPr>
        <w:rPr>
          <w:b/>
          <w:lang w:val="en-US"/>
        </w:rPr>
      </w:pPr>
      <w:r>
        <w:rPr>
          <w:i/>
          <w:lang w:val="en-US"/>
        </w:rPr>
        <w:br w:type="page"/>
      </w:r>
    </w:p>
    <w:p w:rsidR="00F2058E" w:rsidRDefault="00824D0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68461E">
        <w:rPr>
          <w:b/>
          <w:bCs/>
          <w:lang w:val="en-US"/>
        </w:rPr>
        <w:lastRenderedPageBreak/>
        <w:t xml:space="preserve">Number and profile of participating </w:t>
      </w:r>
      <w:proofErr w:type="spellStart"/>
      <w:r w:rsidRPr="0068461E">
        <w:rPr>
          <w:b/>
          <w:bCs/>
          <w:lang w:val="en-US"/>
        </w:rPr>
        <w:t>organisations</w:t>
      </w:r>
      <w:proofErr w:type="spellEnd"/>
      <w:r w:rsidR="006553EA">
        <w:rPr>
          <w:b/>
          <w:bCs/>
          <w:lang w:val="en-US"/>
        </w:rPr>
        <w:t xml:space="preserve"> in the Alliance</w:t>
      </w:r>
      <w:r>
        <w:rPr>
          <w:b/>
          <w:lang w:val="en-US"/>
        </w:rPr>
        <w:t>:</w:t>
      </w:r>
    </w:p>
    <w:p w:rsidR="00DD6A0A" w:rsidRPr="00333765" w:rsidRDefault="00DD6A0A" w:rsidP="00DD6A0A">
      <w:pPr>
        <w:pStyle w:val="Prrafodelista"/>
        <w:ind w:left="360"/>
        <w:rPr>
          <w:b/>
          <w:lang w:val="en-US"/>
        </w:rPr>
      </w:pPr>
    </w:p>
    <w:p w:rsidR="00854CD9" w:rsidRPr="002004A2" w:rsidRDefault="00B153BD" w:rsidP="002004A2">
      <w:pPr>
        <w:pStyle w:val="Prrafodelista"/>
        <w:numPr>
          <w:ilvl w:val="0"/>
          <w:numId w:val="6"/>
        </w:numPr>
        <w:shd w:val="clear" w:color="auto" w:fill="E7E6E6" w:themeFill="background2"/>
        <w:spacing w:after="0" w:line="240" w:lineRule="auto"/>
        <w:jc w:val="both"/>
        <w:rPr>
          <w:i/>
        </w:rPr>
      </w:pPr>
      <w:r w:rsidRPr="0096097D">
        <w:rPr>
          <w:u w:val="single"/>
        </w:rPr>
        <w:t>Tipos de organizaciones:</w:t>
      </w:r>
      <w:r w:rsidRPr="0096097D">
        <w:t xml:space="preserve"> universidades, proveedores de formación profes</w:t>
      </w:r>
      <w:r w:rsidR="004A6664">
        <w:t>i</w:t>
      </w:r>
      <w:r w:rsidRPr="0096097D">
        <w:t>onal</w:t>
      </w:r>
      <w:r w:rsidR="004A6664">
        <w:t xml:space="preserve"> (FP)</w:t>
      </w:r>
      <w:r w:rsidRPr="0096097D">
        <w:t>, redes de FP, PYMES o grandes empresas, institutos de investigación, organizaciones no gubernamentales, organismos públicos, regionales o nacionales, cámaras de comerc</w:t>
      </w:r>
      <w:r>
        <w:t>io, servicios de empleo u otras organizaciones del sector económico</w:t>
      </w:r>
      <w:r w:rsidR="004A6664">
        <w:t xml:space="preserve"> laboral</w:t>
      </w:r>
      <w:r>
        <w:t xml:space="preserve">. </w:t>
      </w:r>
    </w:p>
    <w:p w:rsidR="00564D66" w:rsidRPr="0096097D" w:rsidRDefault="00B153BD" w:rsidP="002004A2">
      <w:pPr>
        <w:pStyle w:val="Prrafodelista"/>
        <w:numPr>
          <w:ilvl w:val="0"/>
          <w:numId w:val="6"/>
        </w:numPr>
        <w:shd w:val="clear" w:color="auto" w:fill="E7E6E6" w:themeFill="background2"/>
        <w:jc w:val="both"/>
      </w:pPr>
      <w:r w:rsidRPr="0096097D">
        <w:t xml:space="preserve">Pueden ser organizaciones públicas o privadas legalmente establecidas en un Estado miembro de la UE o tercer país asociado al Programa o en cualquier tercer país no asociado al Programa (véase la sección «Países admisibles» en la parte A </w:t>
      </w:r>
      <w:r>
        <w:t>del</w:t>
      </w:r>
      <w:r w:rsidR="00564D66" w:rsidRPr="0096097D">
        <w:t xml:space="preserve"> </w:t>
      </w:r>
      <w:hyperlink r:id="rId8" w:history="1">
        <w:proofErr w:type="spellStart"/>
        <w:r w:rsidR="00564D66" w:rsidRPr="0096097D">
          <w:rPr>
            <w:rStyle w:val="Hipervnculo"/>
          </w:rPr>
          <w:t>Programme</w:t>
        </w:r>
        <w:proofErr w:type="spellEnd"/>
        <w:r w:rsidR="00564D66" w:rsidRPr="0096097D">
          <w:rPr>
            <w:rStyle w:val="Hipervnculo"/>
          </w:rPr>
          <w:t xml:space="preserve"> </w:t>
        </w:r>
        <w:proofErr w:type="spellStart"/>
        <w:r w:rsidR="00564D66" w:rsidRPr="0096097D">
          <w:rPr>
            <w:rStyle w:val="Hipervnculo"/>
          </w:rPr>
          <w:t>Guide</w:t>
        </w:r>
        <w:proofErr w:type="spellEnd"/>
      </w:hyperlink>
      <w:r w:rsidR="00564D66" w:rsidRPr="0096097D">
        <w:t xml:space="preserve"> .</w:t>
      </w: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Entity name</w:t>
            </w: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Type of entity</w:t>
            </w: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PI name/s</w:t>
            </w: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DD6A0A" w:rsidTr="005C299D">
        <w:trPr>
          <w:trHeight w:val="186"/>
        </w:trPr>
        <w:tc>
          <w:tcPr>
            <w:tcW w:w="136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D6A0A" w:rsidRDefault="00DD6A0A">
            <w:pPr>
              <w:rPr>
                <w:lang w:val="en-US"/>
              </w:rPr>
            </w:pPr>
          </w:p>
        </w:tc>
      </w:tr>
      <w:tr w:rsidR="00DD6A0A" w:rsidTr="005C299D">
        <w:trPr>
          <w:trHeight w:val="186"/>
        </w:trPr>
        <w:tc>
          <w:tcPr>
            <w:tcW w:w="136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D6A0A" w:rsidRDefault="00DD6A0A">
            <w:pPr>
              <w:rPr>
                <w:lang w:val="en-US"/>
              </w:rPr>
            </w:pPr>
          </w:p>
        </w:tc>
      </w:tr>
      <w:tr w:rsidR="006553EA" w:rsidTr="005C299D">
        <w:trPr>
          <w:trHeight w:val="186"/>
        </w:trPr>
        <w:tc>
          <w:tcPr>
            <w:tcW w:w="1361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6553EA" w:rsidRDefault="006553EA">
            <w:pPr>
              <w:rPr>
                <w:lang w:val="en-US"/>
              </w:rPr>
            </w:pPr>
          </w:p>
        </w:tc>
      </w:tr>
      <w:tr w:rsidR="006553EA" w:rsidTr="005C299D">
        <w:trPr>
          <w:trHeight w:val="186"/>
        </w:trPr>
        <w:tc>
          <w:tcPr>
            <w:tcW w:w="1361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6553EA" w:rsidRDefault="006553EA">
            <w:pPr>
              <w:rPr>
                <w:lang w:val="en-US"/>
              </w:rPr>
            </w:pPr>
          </w:p>
        </w:tc>
      </w:tr>
      <w:tr w:rsidR="006553EA" w:rsidTr="005C299D">
        <w:trPr>
          <w:trHeight w:val="186"/>
        </w:trPr>
        <w:tc>
          <w:tcPr>
            <w:tcW w:w="1361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53EA" w:rsidRDefault="006553E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6553EA" w:rsidRDefault="006553EA">
            <w:pPr>
              <w:rPr>
                <w:lang w:val="en-US"/>
              </w:rPr>
            </w:pPr>
          </w:p>
        </w:tc>
      </w:tr>
      <w:tr w:rsidR="00DD6A0A" w:rsidTr="005C299D">
        <w:trPr>
          <w:trHeight w:val="186"/>
        </w:trPr>
        <w:tc>
          <w:tcPr>
            <w:tcW w:w="136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D6A0A" w:rsidRDefault="00DD6A0A">
            <w:pPr>
              <w:rPr>
                <w:lang w:val="en-US"/>
              </w:rPr>
            </w:pPr>
          </w:p>
        </w:tc>
      </w:tr>
      <w:tr w:rsidR="00DD6A0A" w:rsidTr="005C299D">
        <w:trPr>
          <w:trHeight w:val="186"/>
        </w:trPr>
        <w:tc>
          <w:tcPr>
            <w:tcW w:w="136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D6A0A" w:rsidRDefault="00DD6A0A">
            <w:pPr>
              <w:rPr>
                <w:lang w:val="en-US"/>
              </w:rPr>
            </w:pPr>
          </w:p>
        </w:tc>
      </w:tr>
      <w:tr w:rsidR="00DD6A0A" w:rsidTr="005C299D">
        <w:trPr>
          <w:trHeight w:val="186"/>
        </w:trPr>
        <w:tc>
          <w:tcPr>
            <w:tcW w:w="136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D6A0A" w:rsidRDefault="00DD6A0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D6A0A" w:rsidRDefault="00DD6A0A">
            <w:pPr>
              <w:rPr>
                <w:lang w:val="en-US"/>
              </w:rPr>
            </w:pPr>
          </w:p>
        </w:tc>
      </w:tr>
    </w:tbl>
    <w:p w:rsidR="002001E3" w:rsidRDefault="002001E3">
      <w:pPr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Project idea</w:t>
      </w:r>
      <w:r w:rsidR="009828C9">
        <w:rPr>
          <w:b/>
          <w:lang w:val="en-US"/>
        </w:rPr>
        <w:t>:</w:t>
      </w:r>
      <w:r w:rsidRPr="00333765">
        <w:rPr>
          <w:b/>
          <w:lang w:val="en-US"/>
        </w:rPr>
        <w:t xml:space="preserve"> </w:t>
      </w:r>
    </w:p>
    <w:p w:rsidR="00B153BD" w:rsidRDefault="00B153BD" w:rsidP="00B153BD">
      <w:pPr>
        <w:shd w:val="clear" w:color="auto" w:fill="E7E6E6" w:themeFill="background2"/>
        <w:spacing w:line="240" w:lineRule="auto"/>
      </w:pPr>
      <w:r>
        <w:t>Las alianzas para la innovación persiguen reforzar la capacidad de innovación de Europa impulsando la innovación a través de la cooperación y el flujo de conocimientos entre la educación superior, la educación y la formación profesionales (tanto iniciales como continuas) y el entorno socioeconómico más general, incluida la investigación.</w:t>
      </w:r>
    </w:p>
    <w:p w:rsidR="00B153BD" w:rsidRDefault="00B153BD" w:rsidP="00F01027">
      <w:pPr>
        <w:shd w:val="clear" w:color="auto" w:fill="E7E6E6" w:themeFill="background2"/>
        <w:spacing w:line="240" w:lineRule="auto"/>
      </w:pPr>
      <w:r>
        <w:t>Asimismo, su objetivo es reforzar la enseñanza de nuevas capacidades y abordar los desajustes de capacidades diseñando y creando nuevos planes de estudio para la educación superior y la educación y la formación profesionales (EFP), apoyando el desarrollo del sentido de la iniciativa y mentalidades emprendedoras en la UE</w:t>
      </w:r>
    </w:p>
    <w:p w:rsidR="00F2058E" w:rsidRPr="0096097D" w:rsidRDefault="00F2058E" w:rsidP="0096097D">
      <w:pPr>
        <w:spacing w:before="120" w:after="120" w:line="240" w:lineRule="auto"/>
      </w:pPr>
    </w:p>
    <w:p w:rsidR="002E126A" w:rsidRPr="0096097D" w:rsidRDefault="002E126A" w:rsidP="0096097D">
      <w:pPr>
        <w:spacing w:before="120" w:after="120" w:line="240" w:lineRule="auto"/>
      </w:pPr>
    </w:p>
    <w:p w:rsidR="002E126A" w:rsidRPr="0096097D" w:rsidRDefault="002E126A" w:rsidP="0096097D">
      <w:pPr>
        <w:spacing w:before="120" w:after="120" w:line="240" w:lineRule="auto"/>
      </w:pPr>
    </w:p>
    <w:p w:rsidR="002E126A" w:rsidRPr="0096097D" w:rsidRDefault="002E126A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AA4A0C" w:rsidRPr="0096097D" w:rsidRDefault="00AA4A0C" w:rsidP="0096097D">
      <w:pPr>
        <w:spacing w:before="120" w:after="120" w:line="240" w:lineRule="auto"/>
      </w:pPr>
    </w:p>
    <w:p w:rsidR="00DD6A0A" w:rsidRPr="0096097D" w:rsidRDefault="00DD6A0A" w:rsidP="0096097D">
      <w:pPr>
        <w:spacing w:before="120" w:after="120" w:line="240" w:lineRule="auto"/>
      </w:pPr>
    </w:p>
    <w:p w:rsidR="00564D66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 xml:space="preserve">Objectives of the </w:t>
      </w:r>
      <w:r w:rsidR="00BA2CA7">
        <w:rPr>
          <w:b/>
          <w:lang w:val="en-US"/>
        </w:rPr>
        <w:t xml:space="preserve">action: </w:t>
      </w:r>
    </w:p>
    <w:p w:rsidR="00BA2CA7" w:rsidRPr="0096097D" w:rsidRDefault="00BA2CA7" w:rsidP="0096097D">
      <w:pPr>
        <w:shd w:val="clear" w:color="auto" w:fill="E7E6E6" w:themeFill="background2"/>
        <w:spacing w:before="120" w:after="120"/>
        <w:jc w:val="both"/>
      </w:pPr>
      <w:r w:rsidRPr="0096097D">
        <w:t>Las alianzas para la innovación han de llevar a cabo una serie coherente e integral de actividades sectoriales o intersectoriales que deben poder adaptarse a los futuros avances de los conocimientos en toda la UE.</w:t>
      </w:r>
    </w:p>
    <w:p w:rsidR="00564D66" w:rsidRPr="0096097D" w:rsidRDefault="00BA2CA7" w:rsidP="0096097D">
      <w:pPr>
        <w:shd w:val="clear" w:color="auto" w:fill="E7E6E6" w:themeFill="background2"/>
        <w:spacing w:before="120" w:after="120"/>
        <w:jc w:val="both"/>
        <w:rPr>
          <w:b/>
        </w:rPr>
      </w:pPr>
      <w:r w:rsidRPr="0096097D">
        <w:t>Para impulsar la innovación, se prestará especial atención a las capacidades digitales, puesto que cada vez son más importantes para todos los perfiles profesionales del mercado de trabajo. Además, debe respaldarse la transición hacia una economía circular y más ecológica a través de cambios en las cualificaciones y en los programas educativos y formativos nacionales, con el fin de responder a las nuevas necesidades profesionales de capacidades ecológicas y desarrollo sostenible.</w:t>
      </w:r>
    </w:p>
    <w:p w:rsidR="00564D66" w:rsidRPr="0096097D" w:rsidRDefault="00564D66" w:rsidP="0096097D">
      <w:pPr>
        <w:spacing w:before="120" w:after="120"/>
        <w:rPr>
          <w:b/>
        </w:rPr>
      </w:pPr>
    </w:p>
    <w:p w:rsidR="006553EA" w:rsidRPr="0096097D" w:rsidRDefault="006553EA" w:rsidP="0096097D">
      <w:pPr>
        <w:spacing w:before="120" w:after="120"/>
        <w:rPr>
          <w:b/>
        </w:rPr>
      </w:pPr>
    </w:p>
    <w:p w:rsidR="00564D66" w:rsidRPr="0096097D" w:rsidRDefault="00564D66" w:rsidP="006553EA">
      <w:pPr>
        <w:spacing w:before="120" w:after="120"/>
        <w:rPr>
          <w:b/>
        </w:rPr>
      </w:pPr>
    </w:p>
    <w:p w:rsidR="006553EA" w:rsidRPr="0096097D" w:rsidRDefault="006553EA" w:rsidP="006553EA">
      <w:pPr>
        <w:spacing w:before="120" w:after="120"/>
        <w:rPr>
          <w:b/>
        </w:rPr>
      </w:pPr>
    </w:p>
    <w:p w:rsidR="006553EA" w:rsidRDefault="006553EA" w:rsidP="006553EA">
      <w:pPr>
        <w:spacing w:before="120" w:after="120"/>
        <w:rPr>
          <w:b/>
        </w:rPr>
      </w:pPr>
    </w:p>
    <w:p w:rsidR="00347467" w:rsidRPr="0096097D" w:rsidRDefault="00347467" w:rsidP="006553EA">
      <w:pPr>
        <w:spacing w:before="120" w:after="120"/>
        <w:rPr>
          <w:b/>
        </w:rPr>
      </w:pPr>
      <w:bookmarkStart w:id="0" w:name="_GoBack"/>
      <w:bookmarkEnd w:id="0"/>
    </w:p>
    <w:p w:rsidR="006553EA" w:rsidRPr="0096097D" w:rsidRDefault="006553EA" w:rsidP="006553EA">
      <w:pPr>
        <w:spacing w:before="120" w:after="120"/>
        <w:rPr>
          <w:b/>
        </w:rPr>
      </w:pPr>
    </w:p>
    <w:p w:rsidR="006553EA" w:rsidRPr="0096097D" w:rsidRDefault="006553EA" w:rsidP="006553EA">
      <w:pPr>
        <w:spacing w:before="120" w:after="120"/>
        <w:rPr>
          <w:b/>
        </w:rPr>
      </w:pPr>
    </w:p>
    <w:p w:rsidR="006553EA" w:rsidRPr="0096097D" w:rsidRDefault="006553EA" w:rsidP="0096097D">
      <w:pPr>
        <w:spacing w:before="120" w:after="120"/>
        <w:rPr>
          <w:b/>
        </w:rPr>
      </w:pPr>
    </w:p>
    <w:p w:rsidR="00F2058E" w:rsidRPr="00333765" w:rsidRDefault="00564D66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lastRenderedPageBreak/>
        <w:t>Proposed activities</w:t>
      </w:r>
    </w:p>
    <w:p w:rsidR="00B153BD" w:rsidRPr="0096097D" w:rsidRDefault="00B153BD" w:rsidP="0096097D">
      <w:pPr>
        <w:shd w:val="clear" w:color="auto" w:fill="E7E6E6" w:themeFill="background2"/>
        <w:spacing w:before="120" w:after="120" w:line="240" w:lineRule="auto"/>
        <w:jc w:val="both"/>
      </w:pPr>
      <w:r w:rsidRPr="0096097D">
        <w:t>Cada Alianza deberá llevar a cabo una serie coherente, integral y variable de actividades interconectadas para reforzar la innovación en la educación superior, la educación y la formación profesionales y las empresas (incluidas las grandes empresas, las pequeñas y medianas empresas y las empresas sociales) y el entorno socioeconómico más general.</w:t>
      </w:r>
    </w:p>
    <w:p w:rsidR="002E126A" w:rsidRPr="0096097D" w:rsidRDefault="00B153BD" w:rsidP="0096097D">
      <w:pPr>
        <w:shd w:val="clear" w:color="auto" w:fill="E7E6E6" w:themeFill="background2"/>
        <w:spacing w:before="120" w:after="120" w:line="240" w:lineRule="auto"/>
        <w:jc w:val="both"/>
      </w:pPr>
      <w:r w:rsidRPr="0096097D">
        <w:t>A fin de probar y analizar nuevos planes de estudios o nuevos métodos de formación y aprendizaje, las alianzas para la innovación pueden organizar actividades de movilidad educativa de estudiantes, profesores, investigadores y personal siempre y cuando apoyen o complementen las actividades principales de las asociaciones y aporten valor añadido para alcanzar los objetivos del proyecto</w:t>
      </w:r>
    </w:p>
    <w:p w:rsidR="002E126A" w:rsidRPr="0096097D" w:rsidRDefault="002E126A" w:rsidP="0096097D">
      <w:pPr>
        <w:spacing w:before="120" w:after="120" w:line="240" w:lineRule="auto"/>
      </w:pPr>
    </w:p>
    <w:p w:rsidR="002E126A" w:rsidRPr="0096097D" w:rsidRDefault="002E126A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2E126A" w:rsidRPr="0096097D" w:rsidRDefault="002E126A" w:rsidP="0096097D">
      <w:pPr>
        <w:spacing w:before="120" w:after="120" w:line="240" w:lineRule="auto"/>
      </w:pPr>
    </w:p>
    <w:p w:rsidR="002E126A" w:rsidRPr="0096097D" w:rsidRDefault="002E126A" w:rsidP="0096097D">
      <w:pPr>
        <w:spacing w:before="120" w:after="120" w:line="240" w:lineRule="auto"/>
      </w:pPr>
    </w:p>
    <w:p w:rsidR="00F2058E" w:rsidRPr="0096097D" w:rsidRDefault="00F2058E" w:rsidP="0096097D">
      <w:pPr>
        <w:spacing w:before="120" w:after="120" w:line="240" w:lineRule="auto"/>
      </w:pPr>
    </w:p>
    <w:p w:rsidR="00F2058E" w:rsidRPr="0096097D" w:rsidRDefault="00F2058E" w:rsidP="0096097D">
      <w:pPr>
        <w:spacing w:before="120" w:after="120" w:line="240" w:lineRule="auto"/>
      </w:pPr>
    </w:p>
    <w:p w:rsidR="009A4016" w:rsidRPr="0096097D" w:rsidRDefault="009A4016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4E0DD7" w:rsidRPr="0096097D" w:rsidRDefault="004E0DD7" w:rsidP="0096097D">
      <w:pPr>
        <w:spacing w:before="120" w:after="120" w:line="240" w:lineRule="auto"/>
      </w:pPr>
    </w:p>
    <w:p w:rsidR="004E0DD7" w:rsidRPr="0096097D" w:rsidRDefault="004E0DD7" w:rsidP="0096097D">
      <w:pPr>
        <w:spacing w:before="120" w:after="120" w:line="240" w:lineRule="auto"/>
      </w:pPr>
    </w:p>
    <w:p w:rsidR="004E0DD7" w:rsidRPr="0096097D" w:rsidRDefault="004E0DD7" w:rsidP="0096097D">
      <w:pPr>
        <w:spacing w:before="120" w:after="120" w:line="240" w:lineRule="auto"/>
      </w:pPr>
    </w:p>
    <w:p w:rsidR="00333765" w:rsidRPr="0096097D" w:rsidRDefault="00333765" w:rsidP="0096097D">
      <w:pPr>
        <w:spacing w:before="120" w:after="120" w:line="240" w:lineRule="auto"/>
      </w:pPr>
    </w:p>
    <w:p w:rsidR="00333765" w:rsidRPr="0096097D" w:rsidRDefault="00333765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83FB9" w:rsidRPr="0096097D" w:rsidRDefault="00F83FB9" w:rsidP="0096097D">
      <w:pPr>
        <w:spacing w:before="120" w:after="120" w:line="240" w:lineRule="auto"/>
      </w:pPr>
    </w:p>
    <w:p w:rsidR="00F2058E" w:rsidRPr="0096097D" w:rsidRDefault="00F2058E" w:rsidP="0096097D">
      <w:pPr>
        <w:spacing w:before="120" w:after="120" w:line="240" w:lineRule="auto"/>
      </w:pPr>
    </w:p>
    <w:p w:rsidR="00F01027" w:rsidRPr="0096097D" w:rsidRDefault="00F01027" w:rsidP="0096097D">
      <w:pPr>
        <w:spacing w:before="120" w:after="120" w:line="240" w:lineRule="auto"/>
      </w:pPr>
    </w:p>
    <w:p w:rsidR="00F01027" w:rsidRPr="0096097D" w:rsidRDefault="00F01027" w:rsidP="0096097D">
      <w:pPr>
        <w:spacing w:before="120" w:after="120" w:line="240" w:lineRule="auto"/>
      </w:pPr>
    </w:p>
    <w:p w:rsidR="00F01027" w:rsidRPr="0096097D" w:rsidRDefault="00F01027" w:rsidP="0096097D">
      <w:pPr>
        <w:spacing w:before="120" w:after="120" w:line="240" w:lineRule="auto"/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 w:line="240" w:lineRule="auto"/>
        <w:rPr>
          <w:i/>
        </w:rPr>
      </w:pPr>
    </w:p>
    <w:p w:rsidR="00DD0B39" w:rsidRPr="0096097D" w:rsidRDefault="00DD0B39" w:rsidP="0096097D">
      <w:pPr>
        <w:spacing w:before="120" w:after="120"/>
        <w:rPr>
          <w:i/>
        </w:rPr>
      </w:pPr>
    </w:p>
    <w:sectPr w:rsidR="00DD0B39" w:rsidRPr="0096097D" w:rsidSect="00DD525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BE" w:rsidRDefault="007668BE" w:rsidP="007747F4">
      <w:pPr>
        <w:spacing w:after="0" w:line="240" w:lineRule="auto"/>
      </w:pPr>
      <w:r>
        <w:separator/>
      </w:r>
    </w:p>
  </w:endnote>
  <w:endnote w:type="continuationSeparator" w:id="0">
    <w:p w:rsidR="007668BE" w:rsidRDefault="007668BE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A5273D">
      <w:rPr>
        <w:noProof/>
      </w:rPr>
      <w:t>5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BE" w:rsidRDefault="007668BE" w:rsidP="007747F4">
      <w:pPr>
        <w:spacing w:after="0" w:line="240" w:lineRule="auto"/>
      </w:pPr>
      <w:r>
        <w:separator/>
      </w:r>
    </w:p>
  </w:footnote>
  <w:footnote w:type="continuationSeparator" w:id="0">
    <w:p w:rsidR="007668BE" w:rsidRDefault="007668BE" w:rsidP="007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A96742">
      <w:t>ERASMUS</w:t>
    </w:r>
    <w: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C6E79"/>
    <w:multiLevelType w:val="hybridMultilevel"/>
    <w:tmpl w:val="F30E0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05A60"/>
    <w:multiLevelType w:val="hybridMultilevel"/>
    <w:tmpl w:val="85126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20EF0"/>
    <w:multiLevelType w:val="hybridMultilevel"/>
    <w:tmpl w:val="683AD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8E"/>
    <w:rsid w:val="0003677F"/>
    <w:rsid w:val="00050EEC"/>
    <w:rsid w:val="000A26C6"/>
    <w:rsid w:val="0012340F"/>
    <w:rsid w:val="001440C2"/>
    <w:rsid w:val="00155E84"/>
    <w:rsid w:val="002001E3"/>
    <w:rsid w:val="002004A2"/>
    <w:rsid w:val="00270E0C"/>
    <w:rsid w:val="002E126A"/>
    <w:rsid w:val="00303445"/>
    <w:rsid w:val="00311C7C"/>
    <w:rsid w:val="0033131A"/>
    <w:rsid w:val="00333765"/>
    <w:rsid w:val="00347467"/>
    <w:rsid w:val="003F37D2"/>
    <w:rsid w:val="0042030D"/>
    <w:rsid w:val="004A6664"/>
    <w:rsid w:val="004E0DD7"/>
    <w:rsid w:val="00517B95"/>
    <w:rsid w:val="00524A7C"/>
    <w:rsid w:val="00564D66"/>
    <w:rsid w:val="005C299D"/>
    <w:rsid w:val="006173B6"/>
    <w:rsid w:val="0064392F"/>
    <w:rsid w:val="006553EA"/>
    <w:rsid w:val="0068461E"/>
    <w:rsid w:val="00690CC0"/>
    <w:rsid w:val="006B00ED"/>
    <w:rsid w:val="006E27CC"/>
    <w:rsid w:val="007122E3"/>
    <w:rsid w:val="007668BE"/>
    <w:rsid w:val="007747F4"/>
    <w:rsid w:val="007C67A0"/>
    <w:rsid w:val="00824D0E"/>
    <w:rsid w:val="00854CD9"/>
    <w:rsid w:val="008B5496"/>
    <w:rsid w:val="008C0221"/>
    <w:rsid w:val="00922643"/>
    <w:rsid w:val="00930905"/>
    <w:rsid w:val="00932EFA"/>
    <w:rsid w:val="009534FB"/>
    <w:rsid w:val="0096097D"/>
    <w:rsid w:val="009828C9"/>
    <w:rsid w:val="0099393B"/>
    <w:rsid w:val="009A4016"/>
    <w:rsid w:val="00A5273D"/>
    <w:rsid w:val="00A96742"/>
    <w:rsid w:val="00AA4A0C"/>
    <w:rsid w:val="00B153BD"/>
    <w:rsid w:val="00B74E9D"/>
    <w:rsid w:val="00BA2CA7"/>
    <w:rsid w:val="00C70657"/>
    <w:rsid w:val="00CA2EDF"/>
    <w:rsid w:val="00CD17FD"/>
    <w:rsid w:val="00CE0B53"/>
    <w:rsid w:val="00D724EC"/>
    <w:rsid w:val="00DC68B8"/>
    <w:rsid w:val="00DC6DAB"/>
    <w:rsid w:val="00DD0B39"/>
    <w:rsid w:val="00DD525C"/>
    <w:rsid w:val="00DD6A0A"/>
    <w:rsid w:val="00DE48A1"/>
    <w:rsid w:val="00DF1A1B"/>
    <w:rsid w:val="00E60947"/>
    <w:rsid w:val="00F01027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36286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846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68B8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6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sites/default/files/2021-11/2022-erasmusplus-programme-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D060-B9F8-4D2F-B54F-68E3CB05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Lucía</cp:lastModifiedBy>
  <cp:revision>2</cp:revision>
  <dcterms:created xsi:type="dcterms:W3CDTF">2022-04-28T11:11:00Z</dcterms:created>
  <dcterms:modified xsi:type="dcterms:W3CDTF">2022-04-28T11:11:00Z</dcterms:modified>
</cp:coreProperties>
</file>