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518" w:rsidRDefault="004D6FFA" w:rsidP="002F785D">
      <w:pPr>
        <w:jc w:val="center"/>
        <w:rPr>
          <w:rFonts w:ascii="Verdana" w:hAnsi="Verdana" w:cs="Arial"/>
          <w:b/>
          <w:bCs/>
          <w:sz w:val="20"/>
          <w:highlight w:val="lightGray"/>
        </w:rPr>
      </w:pPr>
      <w:r>
        <w:rPr>
          <w:rFonts w:ascii="Verdana" w:hAnsi="Verdana" w:cs="Arial"/>
          <w:b/>
          <w:bCs/>
          <w:sz w:val="20"/>
          <w:highlight w:val="lightGray"/>
        </w:rPr>
        <w:t xml:space="preserve">CURSO Nº </w:t>
      </w:r>
      <w:r w:rsidR="00721A9A">
        <w:rPr>
          <w:rFonts w:ascii="Verdana" w:hAnsi="Verdana" w:cs="Arial"/>
          <w:b/>
          <w:bCs/>
          <w:sz w:val="20"/>
          <w:highlight w:val="lightGray"/>
        </w:rPr>
        <w:t>xx</w:t>
      </w:r>
      <w:r>
        <w:rPr>
          <w:rFonts w:ascii="Verdana" w:hAnsi="Verdana" w:cs="Arial"/>
          <w:b/>
          <w:bCs/>
          <w:sz w:val="20"/>
          <w:highlight w:val="lightGray"/>
        </w:rPr>
        <w:t>.</w:t>
      </w:r>
    </w:p>
    <w:p w:rsidR="00215518" w:rsidRDefault="00215518" w:rsidP="002F785D">
      <w:pPr>
        <w:jc w:val="center"/>
        <w:rPr>
          <w:rFonts w:ascii="Verdana" w:hAnsi="Verdana" w:cs="Arial"/>
          <w:b/>
          <w:bCs/>
          <w:sz w:val="20"/>
          <w:highlight w:val="lightGray"/>
        </w:rPr>
      </w:pPr>
    </w:p>
    <w:p w:rsidR="004D6FFA" w:rsidRDefault="00BE7C53" w:rsidP="002F785D">
      <w:pPr>
        <w:ind w:right="-138"/>
        <w:jc w:val="center"/>
        <w:rPr>
          <w:rFonts w:ascii="Verdana" w:hAnsi="Verdana" w:cs="Arial"/>
          <w:bCs/>
          <w:sz w:val="20"/>
        </w:rPr>
      </w:pPr>
      <w:r>
        <w:rPr>
          <w:rFonts w:ascii="Verdana" w:hAnsi="Verdana" w:cs="Arial"/>
          <w:b/>
          <w:bCs/>
          <w:sz w:val="20"/>
          <w:highlight w:val="lightGray"/>
        </w:rPr>
        <w:t>IGUALDAD DE TRATO Y OPORTUNIDADES ENTRE HOMBRES Y MUJERES.</w:t>
      </w:r>
    </w:p>
    <w:p w:rsidR="00A71099" w:rsidRDefault="00A71099" w:rsidP="002F785D">
      <w:pPr>
        <w:ind w:right="-138"/>
        <w:jc w:val="center"/>
        <w:rPr>
          <w:rFonts w:ascii="Verdana" w:hAnsi="Verdana" w:cs="Arial"/>
          <w:bCs/>
          <w:sz w:val="20"/>
        </w:rPr>
      </w:pPr>
    </w:p>
    <w:tbl>
      <w:tblPr>
        <w:tblW w:w="10360"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2204"/>
        <w:gridCol w:w="8156"/>
      </w:tblGrid>
      <w:tr w:rsidR="004D6FFA">
        <w:trPr>
          <w:cantSplit/>
          <w:trHeight w:val="575"/>
          <w:tblHeader/>
          <w:tblCellSpacing w:w="20" w:type="dxa"/>
          <w:jc w:val="center"/>
        </w:trPr>
        <w:tc>
          <w:tcPr>
            <w:tcW w:w="10280" w:type="dxa"/>
            <w:gridSpan w:val="2"/>
            <w:shd w:val="clear" w:color="auto" w:fill="0000FF"/>
            <w:vAlign w:val="center"/>
          </w:tcPr>
          <w:p w:rsidR="004D6FFA" w:rsidRPr="00C74DF3" w:rsidRDefault="00F87BD7" w:rsidP="00A03FE4">
            <w:pPr>
              <w:jc w:val="center"/>
              <w:rPr>
                <w:rFonts w:ascii="Verdana" w:hAnsi="Verdana"/>
                <w:b/>
                <w:sz w:val="20"/>
                <w:szCs w:val="20"/>
              </w:rPr>
            </w:pPr>
            <w:r>
              <w:rPr>
                <w:rFonts w:ascii="Verdana" w:hAnsi="Verdana"/>
                <w:b/>
                <w:sz w:val="20"/>
                <w:szCs w:val="20"/>
              </w:rPr>
              <w:t>IGUALDAD DE TRATO Y OPORTUNIDADES ENTRE HOMBRES Y MUJERES.</w:t>
            </w:r>
          </w:p>
        </w:tc>
      </w:tr>
      <w:tr w:rsidR="00C74DF3">
        <w:trPr>
          <w:tblCellSpacing w:w="20" w:type="dxa"/>
          <w:jc w:val="center"/>
        </w:trPr>
        <w:tc>
          <w:tcPr>
            <w:tcW w:w="2144" w:type="dxa"/>
            <w:shd w:val="clear" w:color="auto" w:fill="FFCC00"/>
            <w:vAlign w:val="center"/>
          </w:tcPr>
          <w:p w:rsidR="00C74DF3" w:rsidRDefault="00C74DF3">
            <w:pPr>
              <w:spacing w:before="40" w:after="40"/>
              <w:ind w:left="290"/>
              <w:jc w:val="right"/>
              <w:rPr>
                <w:rFonts w:ascii="Verdana" w:hAnsi="Verdana" w:cs="Arial"/>
                <w:b/>
                <w:bCs/>
                <w:color w:val="000080"/>
                <w:sz w:val="20"/>
              </w:rPr>
            </w:pPr>
            <w:r>
              <w:rPr>
                <w:rFonts w:ascii="Verdana" w:hAnsi="Verdana" w:cs="Arial"/>
                <w:b/>
                <w:bCs/>
                <w:color w:val="000080"/>
                <w:sz w:val="20"/>
              </w:rPr>
              <w:t xml:space="preserve">Objetivos: </w:t>
            </w:r>
          </w:p>
        </w:tc>
        <w:tc>
          <w:tcPr>
            <w:tcW w:w="8096" w:type="dxa"/>
            <w:shd w:val="clear" w:color="auto" w:fill="FFFFCC"/>
          </w:tcPr>
          <w:p w:rsidR="00BE7C53" w:rsidRPr="00BE7C53" w:rsidRDefault="00BE7C53" w:rsidP="00BE7C53">
            <w:pPr>
              <w:numPr>
                <w:ilvl w:val="0"/>
                <w:numId w:val="8"/>
              </w:numPr>
              <w:jc w:val="both"/>
              <w:rPr>
                <w:rFonts w:ascii="Verdana" w:hAnsi="Verdana" w:cs="Arial"/>
                <w:color w:val="000080"/>
                <w:sz w:val="20"/>
              </w:rPr>
            </w:pPr>
            <w:r w:rsidRPr="00BE7C53">
              <w:rPr>
                <w:rFonts w:ascii="Verdana" w:hAnsi="Verdana" w:cs="Arial"/>
                <w:color w:val="000080"/>
                <w:sz w:val="20"/>
              </w:rPr>
              <w:t>Todos los trabajadores y empleados públicos tienen derecho a la igualdad de trato y de oportunidades y a no ser discriminados directa o indirectamente para el empleo, o una vez empleados, por razón de sexo.</w:t>
            </w:r>
          </w:p>
          <w:p w:rsidR="00BE7C53" w:rsidRPr="00BE7C53" w:rsidRDefault="00BE7C53" w:rsidP="00BE7C53">
            <w:pPr>
              <w:numPr>
                <w:ilvl w:val="0"/>
                <w:numId w:val="8"/>
              </w:numPr>
              <w:jc w:val="both"/>
              <w:rPr>
                <w:rFonts w:ascii="Verdana" w:hAnsi="Verdana" w:cs="Arial"/>
                <w:color w:val="000080"/>
                <w:sz w:val="20"/>
              </w:rPr>
            </w:pPr>
            <w:r w:rsidRPr="00BE7C53">
              <w:rPr>
                <w:rFonts w:ascii="Verdana" w:hAnsi="Verdana" w:cs="Arial"/>
                <w:color w:val="000080"/>
                <w:sz w:val="20"/>
              </w:rPr>
              <w:t>En el año 2007, se produjo en España un avance relevante en la defensa de los derechos de igualdad de género con la aprobación de la Ley Orgánica 3/2007, de 22 de marzo, para la igualdad efectiva de mujeres y hombres. Este marco legal ha sido objeto de una gran evolución con importantes cambios introducidos por varias disposiciones normativas desde el año 2019 que introducen nuevas herramientas para facilitar la transparencia salarial en aras de garantizar la igualdad retributiva entre mujeres y hombres y nuevas obligaciones para las empresas (y, con ciertas particularidades, en el caso de la Administración P</w:t>
            </w:r>
            <w:r w:rsidR="00164C03">
              <w:rPr>
                <w:rFonts w:ascii="Verdana" w:hAnsi="Verdana" w:cs="Arial"/>
                <w:color w:val="000080"/>
                <w:sz w:val="20"/>
              </w:rPr>
              <w:t>ú</w:t>
            </w:r>
            <w:r w:rsidRPr="00BE7C53">
              <w:rPr>
                <w:rFonts w:ascii="Verdana" w:hAnsi="Verdana" w:cs="Arial"/>
                <w:color w:val="000080"/>
                <w:sz w:val="20"/>
              </w:rPr>
              <w:t>blica) en materia de planes de igualdad siendo un instrumento fundamental en la detección y eliminación de situaciones de discriminación por razón de sexo en el ámbito de la relaciones laborales.</w:t>
            </w:r>
          </w:p>
          <w:p w:rsidR="00BE7C53" w:rsidRDefault="00BE7C53" w:rsidP="00BE7C53">
            <w:pPr>
              <w:numPr>
                <w:ilvl w:val="0"/>
                <w:numId w:val="8"/>
              </w:numPr>
              <w:jc w:val="both"/>
              <w:rPr>
                <w:rFonts w:ascii="Verdana" w:hAnsi="Verdana" w:cs="Arial"/>
                <w:color w:val="000080"/>
                <w:sz w:val="20"/>
              </w:rPr>
            </w:pPr>
            <w:r w:rsidRPr="00BE7C53">
              <w:rPr>
                <w:rFonts w:ascii="Verdana" w:hAnsi="Verdana" w:cs="Arial"/>
                <w:color w:val="000080"/>
                <w:sz w:val="20"/>
              </w:rPr>
              <w:t>Es función de la Inspección de Trabajo y Seguridad Social velar por el respeto a todos estos derechos en materia de igualdad y no discriminación por razón de sexo.</w:t>
            </w:r>
          </w:p>
          <w:p w:rsidR="00BE7C53" w:rsidRDefault="00BE7C53" w:rsidP="00BE7C53">
            <w:pPr>
              <w:numPr>
                <w:ilvl w:val="0"/>
                <w:numId w:val="8"/>
              </w:numPr>
              <w:jc w:val="both"/>
              <w:rPr>
                <w:rFonts w:ascii="Verdana" w:hAnsi="Verdana" w:cs="Arial"/>
                <w:color w:val="000080"/>
                <w:sz w:val="20"/>
              </w:rPr>
            </w:pPr>
            <w:r w:rsidRPr="00BE7C53">
              <w:rPr>
                <w:rFonts w:ascii="Verdana" w:hAnsi="Verdana" w:cs="Arial"/>
                <w:color w:val="000080"/>
                <w:sz w:val="20"/>
              </w:rPr>
              <w:t>El cumplimiento efectivo de todas las obligaciones en materia de igualdad permite reforzar el compromiso en la consecución del objetivo de igualdad real y plena entre mujeres y hombres, avanzando de esta forma hacia una sociedad más justa e igualitaria y contribuyendo a la consecución de uno de los objetivos de desarrollo sostenible (ODS5: “Lograr la igualdad de género y el empoderamiento de las mujeres”) del ambicioso proyecto de la Agenda 2030, surgido en el ámbito de las Naciones Unidas para lograr un mundo mejor y un futuro más próspero</w:t>
            </w:r>
            <w:r>
              <w:rPr>
                <w:rFonts w:ascii="Verdana" w:hAnsi="Verdana" w:cs="Arial"/>
                <w:color w:val="000080"/>
                <w:sz w:val="20"/>
              </w:rPr>
              <w:t>.</w:t>
            </w:r>
          </w:p>
          <w:p w:rsidR="003830E8" w:rsidRPr="00BE7C53" w:rsidRDefault="00BE7C53" w:rsidP="00BE7C53">
            <w:pPr>
              <w:numPr>
                <w:ilvl w:val="0"/>
                <w:numId w:val="8"/>
              </w:numPr>
              <w:jc w:val="both"/>
              <w:rPr>
                <w:rFonts w:ascii="Verdana" w:hAnsi="Verdana" w:cs="Arial"/>
                <w:color w:val="000080"/>
                <w:sz w:val="20"/>
              </w:rPr>
            </w:pPr>
            <w:r w:rsidRPr="00BE7C53">
              <w:rPr>
                <w:rFonts w:ascii="Verdana" w:hAnsi="Verdana" w:cs="Arial"/>
                <w:color w:val="000080"/>
                <w:sz w:val="20"/>
              </w:rPr>
              <w:t>Conocer los derechos en materia de igualdad y no discriminación por razón de sexo en el acceso al empleo y en la relación laboral (especialmente el derecho a la igualdad retributiva), el derecho a la conciliación de la vida familiar y laboral, las obligaciones de las empresas y de la Administración Pública de contar con medidas y planes de igualdad y protocolos de acoso, así como reflexionar sobre los avances y retos pendientes constituyen los objetivos fundamental</w:t>
            </w:r>
            <w:r>
              <w:rPr>
                <w:rFonts w:ascii="Verdana" w:hAnsi="Verdana" w:cs="Arial"/>
                <w:color w:val="000080"/>
                <w:sz w:val="20"/>
              </w:rPr>
              <w:t>es.</w:t>
            </w:r>
          </w:p>
        </w:tc>
      </w:tr>
      <w:tr w:rsidR="004D6FFA">
        <w:trPr>
          <w:tblCellSpacing w:w="20" w:type="dxa"/>
          <w:jc w:val="center"/>
        </w:trPr>
        <w:tc>
          <w:tcPr>
            <w:tcW w:w="2144" w:type="dxa"/>
            <w:shd w:val="clear" w:color="auto" w:fill="FFCC00"/>
            <w:vAlign w:val="center"/>
          </w:tcPr>
          <w:p w:rsidR="004D6FFA" w:rsidRDefault="004D6FFA">
            <w:pPr>
              <w:spacing w:before="40" w:after="40"/>
              <w:ind w:left="290"/>
              <w:jc w:val="right"/>
              <w:rPr>
                <w:rFonts w:ascii="Verdana" w:hAnsi="Verdana" w:cs="Arial"/>
                <w:b/>
                <w:bCs/>
                <w:color w:val="000080"/>
                <w:sz w:val="20"/>
              </w:rPr>
            </w:pPr>
            <w:r>
              <w:rPr>
                <w:rFonts w:ascii="Verdana" w:hAnsi="Verdana" w:cs="Arial"/>
                <w:b/>
                <w:bCs/>
                <w:color w:val="000080"/>
                <w:sz w:val="20"/>
              </w:rPr>
              <w:t xml:space="preserve">Destinatarios: </w:t>
            </w:r>
          </w:p>
        </w:tc>
        <w:tc>
          <w:tcPr>
            <w:tcW w:w="8096" w:type="dxa"/>
            <w:shd w:val="clear" w:color="auto" w:fill="FFFFCC"/>
          </w:tcPr>
          <w:p w:rsidR="0057558E" w:rsidRDefault="00215518" w:rsidP="00C74DF3">
            <w:pPr>
              <w:jc w:val="both"/>
              <w:rPr>
                <w:rFonts w:ascii="Verdana" w:hAnsi="Verdana" w:cs="Arial"/>
                <w:color w:val="000080"/>
                <w:sz w:val="20"/>
              </w:rPr>
            </w:pPr>
            <w:r w:rsidRPr="00215518">
              <w:rPr>
                <w:rFonts w:ascii="Verdana" w:hAnsi="Verdana" w:cs="Arial"/>
                <w:color w:val="000080"/>
                <w:sz w:val="20"/>
              </w:rPr>
              <w:t xml:space="preserve">Curso </w:t>
            </w:r>
            <w:r w:rsidR="0057558E">
              <w:rPr>
                <w:rFonts w:ascii="Verdana" w:hAnsi="Verdana" w:cs="Arial"/>
                <w:color w:val="000080"/>
                <w:sz w:val="20"/>
              </w:rPr>
              <w:t xml:space="preserve">dirigido </w:t>
            </w:r>
            <w:r w:rsidR="0009023A">
              <w:rPr>
                <w:rFonts w:ascii="Verdana" w:hAnsi="Verdana" w:cs="Arial"/>
                <w:color w:val="000080"/>
                <w:sz w:val="20"/>
              </w:rPr>
              <w:t>a</w:t>
            </w:r>
            <w:r w:rsidR="005B183F">
              <w:rPr>
                <w:rFonts w:ascii="Verdana" w:hAnsi="Verdana" w:cs="Arial"/>
                <w:color w:val="000080"/>
                <w:sz w:val="20"/>
              </w:rPr>
              <w:t xml:space="preserve"> todo el PAS</w:t>
            </w:r>
            <w:r w:rsidR="00BB2A73">
              <w:rPr>
                <w:rFonts w:ascii="Verdana" w:hAnsi="Verdana" w:cs="Arial"/>
                <w:color w:val="000080"/>
                <w:sz w:val="20"/>
              </w:rPr>
              <w:t>.</w:t>
            </w:r>
          </w:p>
          <w:p w:rsidR="00BE7C53" w:rsidRDefault="00887DE4" w:rsidP="0057558E">
            <w:pPr>
              <w:jc w:val="both"/>
              <w:rPr>
                <w:rFonts w:ascii="Verdana" w:hAnsi="Verdana" w:cs="Arial"/>
                <w:color w:val="000080"/>
                <w:sz w:val="20"/>
              </w:rPr>
            </w:pPr>
            <w:r>
              <w:rPr>
                <w:rFonts w:ascii="Verdana" w:hAnsi="Verdana" w:cs="Arial"/>
                <w:color w:val="000080"/>
                <w:sz w:val="20"/>
              </w:rPr>
              <w:t xml:space="preserve">Máximo: </w:t>
            </w:r>
            <w:r w:rsidR="00B10E1E">
              <w:rPr>
                <w:rFonts w:ascii="Verdana" w:hAnsi="Verdana" w:cs="Arial"/>
                <w:color w:val="000080"/>
                <w:sz w:val="20"/>
              </w:rPr>
              <w:t>30 a</w:t>
            </w:r>
            <w:r w:rsidR="00C74DF3" w:rsidRPr="00C74DF3">
              <w:rPr>
                <w:rFonts w:ascii="Verdana" w:hAnsi="Verdana" w:cs="Arial"/>
                <w:color w:val="000080"/>
                <w:sz w:val="20"/>
              </w:rPr>
              <w:t>lumnos</w:t>
            </w:r>
            <w:r w:rsidR="00EC3C34">
              <w:rPr>
                <w:rFonts w:ascii="Verdana" w:hAnsi="Verdana" w:cs="Arial"/>
                <w:color w:val="000080"/>
                <w:sz w:val="20"/>
              </w:rPr>
              <w:t>.</w:t>
            </w:r>
          </w:p>
        </w:tc>
      </w:tr>
      <w:tr w:rsidR="00C74DF3">
        <w:trPr>
          <w:tblCellSpacing w:w="20" w:type="dxa"/>
          <w:jc w:val="center"/>
        </w:trPr>
        <w:tc>
          <w:tcPr>
            <w:tcW w:w="2144" w:type="dxa"/>
            <w:shd w:val="clear" w:color="auto" w:fill="FFCC00"/>
            <w:vAlign w:val="center"/>
          </w:tcPr>
          <w:p w:rsidR="00C74DF3" w:rsidRDefault="00C74DF3">
            <w:pPr>
              <w:spacing w:before="40" w:after="40"/>
              <w:ind w:left="290"/>
              <w:jc w:val="right"/>
              <w:rPr>
                <w:rFonts w:ascii="Verdana" w:hAnsi="Verdana" w:cs="Arial"/>
                <w:b/>
                <w:bCs/>
                <w:color w:val="000080"/>
                <w:sz w:val="20"/>
              </w:rPr>
            </w:pPr>
            <w:r>
              <w:rPr>
                <w:rFonts w:ascii="Verdana" w:hAnsi="Verdana" w:cs="Arial"/>
                <w:b/>
                <w:bCs/>
                <w:color w:val="000080"/>
                <w:sz w:val="20"/>
              </w:rPr>
              <w:t xml:space="preserve">Duración: </w:t>
            </w:r>
          </w:p>
        </w:tc>
        <w:tc>
          <w:tcPr>
            <w:tcW w:w="8096" w:type="dxa"/>
            <w:shd w:val="clear" w:color="auto" w:fill="FFFFCC"/>
          </w:tcPr>
          <w:p w:rsidR="002A2210" w:rsidRDefault="004A503F" w:rsidP="00C74DF3">
            <w:pPr>
              <w:spacing w:before="40" w:after="40"/>
              <w:jc w:val="both"/>
              <w:rPr>
                <w:rFonts w:ascii="Verdana" w:hAnsi="Verdana" w:cs="Arial"/>
                <w:color w:val="000080"/>
                <w:sz w:val="20"/>
              </w:rPr>
            </w:pPr>
            <w:r>
              <w:rPr>
                <w:rFonts w:ascii="Verdana" w:hAnsi="Verdana" w:cs="Arial"/>
                <w:color w:val="000080"/>
                <w:sz w:val="20"/>
              </w:rPr>
              <w:t>3</w:t>
            </w:r>
            <w:r w:rsidR="00C74DF3" w:rsidRPr="00C74DF3">
              <w:rPr>
                <w:rFonts w:ascii="Verdana" w:hAnsi="Verdana" w:cs="Arial"/>
                <w:color w:val="000080"/>
                <w:sz w:val="20"/>
              </w:rPr>
              <w:t xml:space="preserve"> horas</w:t>
            </w:r>
            <w:r w:rsidR="002A2210">
              <w:rPr>
                <w:rFonts w:ascii="Verdana" w:hAnsi="Verdana" w:cs="Arial"/>
                <w:color w:val="000080"/>
                <w:sz w:val="20"/>
              </w:rPr>
              <w:t xml:space="preserve">: </w:t>
            </w:r>
            <w:r w:rsidR="008926DC">
              <w:rPr>
                <w:rFonts w:ascii="Verdana" w:hAnsi="Verdana" w:cs="Arial"/>
                <w:color w:val="000080"/>
                <w:sz w:val="20"/>
              </w:rPr>
              <w:t>12</w:t>
            </w:r>
            <w:r w:rsidR="002A2210">
              <w:rPr>
                <w:rFonts w:ascii="Verdana" w:hAnsi="Verdana" w:cs="Arial"/>
                <w:color w:val="000080"/>
                <w:sz w:val="20"/>
              </w:rPr>
              <w:t>:</w:t>
            </w:r>
            <w:r w:rsidR="008926DC">
              <w:rPr>
                <w:rFonts w:ascii="Verdana" w:hAnsi="Verdana" w:cs="Arial"/>
                <w:color w:val="000080"/>
                <w:sz w:val="20"/>
              </w:rPr>
              <w:t>0</w:t>
            </w:r>
            <w:r w:rsidR="002A2210">
              <w:rPr>
                <w:rFonts w:ascii="Verdana" w:hAnsi="Verdana" w:cs="Arial"/>
                <w:color w:val="000080"/>
                <w:sz w:val="20"/>
              </w:rPr>
              <w:t>0 a 1</w:t>
            </w:r>
            <w:r w:rsidR="008926DC">
              <w:rPr>
                <w:rFonts w:ascii="Verdana" w:hAnsi="Verdana" w:cs="Arial"/>
                <w:color w:val="000080"/>
                <w:sz w:val="20"/>
              </w:rPr>
              <w:t>5</w:t>
            </w:r>
            <w:r w:rsidR="002A2210">
              <w:rPr>
                <w:rFonts w:ascii="Verdana" w:hAnsi="Verdana" w:cs="Arial"/>
                <w:color w:val="000080"/>
                <w:sz w:val="20"/>
              </w:rPr>
              <w:t>:</w:t>
            </w:r>
            <w:r w:rsidR="008926DC">
              <w:rPr>
                <w:rFonts w:ascii="Verdana" w:hAnsi="Verdana" w:cs="Arial"/>
                <w:color w:val="000080"/>
                <w:sz w:val="20"/>
              </w:rPr>
              <w:t>0</w:t>
            </w:r>
            <w:r w:rsidR="002A2210">
              <w:rPr>
                <w:rFonts w:ascii="Verdana" w:hAnsi="Verdana" w:cs="Arial"/>
                <w:color w:val="000080"/>
                <w:sz w:val="20"/>
              </w:rPr>
              <w:t>0 h.</w:t>
            </w:r>
          </w:p>
          <w:p w:rsidR="004A503F" w:rsidRDefault="002A2210" w:rsidP="00C74DF3">
            <w:pPr>
              <w:spacing w:before="40" w:after="40"/>
              <w:jc w:val="both"/>
              <w:rPr>
                <w:rFonts w:ascii="Verdana" w:hAnsi="Verdana" w:cs="Arial"/>
                <w:color w:val="000080"/>
                <w:sz w:val="20"/>
              </w:rPr>
            </w:pPr>
            <w:r>
              <w:rPr>
                <w:rFonts w:ascii="Verdana" w:hAnsi="Verdana" w:cs="Arial"/>
                <w:color w:val="000080"/>
                <w:sz w:val="20"/>
              </w:rPr>
              <w:t xml:space="preserve">Calendario previsto de impartición: </w:t>
            </w:r>
            <w:r w:rsidR="004A503F">
              <w:rPr>
                <w:rFonts w:ascii="Verdana" w:hAnsi="Verdana" w:cs="Arial"/>
                <w:color w:val="000080"/>
                <w:sz w:val="20"/>
              </w:rPr>
              <w:t>2</w:t>
            </w:r>
            <w:r w:rsidR="003839C4">
              <w:rPr>
                <w:rFonts w:ascii="Verdana" w:hAnsi="Verdana" w:cs="Arial"/>
                <w:color w:val="000080"/>
                <w:sz w:val="20"/>
              </w:rPr>
              <w:t>4</w:t>
            </w:r>
            <w:r w:rsidR="004A503F">
              <w:rPr>
                <w:rFonts w:ascii="Verdana" w:hAnsi="Verdana" w:cs="Arial"/>
                <w:color w:val="000080"/>
                <w:sz w:val="20"/>
              </w:rPr>
              <w:t xml:space="preserve"> de </w:t>
            </w:r>
            <w:r w:rsidR="00EB29AD">
              <w:rPr>
                <w:rFonts w:ascii="Verdana" w:hAnsi="Verdana" w:cs="Arial"/>
                <w:color w:val="000080"/>
                <w:sz w:val="20"/>
              </w:rPr>
              <w:t>enero</w:t>
            </w:r>
            <w:r w:rsidR="004A503F">
              <w:rPr>
                <w:rFonts w:ascii="Verdana" w:hAnsi="Verdana" w:cs="Arial"/>
                <w:color w:val="000080"/>
                <w:sz w:val="20"/>
              </w:rPr>
              <w:t xml:space="preserve"> de 2022</w:t>
            </w:r>
            <w:r w:rsidR="00E83033">
              <w:rPr>
                <w:rFonts w:ascii="Verdana" w:hAnsi="Verdana" w:cs="Arial"/>
                <w:color w:val="000080"/>
                <w:sz w:val="20"/>
              </w:rPr>
              <w:t>.</w:t>
            </w:r>
          </w:p>
          <w:p w:rsidR="00204D40" w:rsidRDefault="004A503F" w:rsidP="00C74DF3">
            <w:pPr>
              <w:spacing w:before="40" w:after="40"/>
              <w:jc w:val="both"/>
              <w:rPr>
                <w:rFonts w:ascii="Verdana" w:hAnsi="Verdana" w:cs="Arial"/>
                <w:color w:val="000080"/>
                <w:sz w:val="20"/>
              </w:rPr>
            </w:pPr>
            <w:bookmarkStart w:id="0" w:name="_Hlk92872783"/>
            <w:r>
              <w:rPr>
                <w:rFonts w:ascii="Verdana" w:hAnsi="Verdana" w:cs="Arial"/>
                <w:color w:val="000080"/>
                <w:sz w:val="20"/>
              </w:rPr>
              <w:t>Modalidad presencial</w:t>
            </w:r>
            <w:r w:rsidR="00F46A71">
              <w:rPr>
                <w:rFonts w:ascii="Verdana" w:hAnsi="Verdana" w:cs="Arial"/>
                <w:color w:val="000080"/>
                <w:sz w:val="20"/>
              </w:rPr>
              <w:t xml:space="preserve"> en el Salón de Actos de Matemáticas</w:t>
            </w:r>
            <w:r w:rsidR="005E7256">
              <w:rPr>
                <w:rFonts w:ascii="Verdana" w:hAnsi="Verdana" w:cs="Arial"/>
                <w:color w:val="000080"/>
                <w:sz w:val="20"/>
              </w:rPr>
              <w:t>, Zaragoza;</w:t>
            </w:r>
            <w:r w:rsidR="004D1872">
              <w:rPr>
                <w:rFonts w:ascii="Verdana" w:hAnsi="Verdana" w:cs="Arial"/>
                <w:color w:val="000080"/>
                <w:sz w:val="20"/>
              </w:rPr>
              <w:t xml:space="preserve"> Aula Vicerrectorado</w:t>
            </w:r>
            <w:r w:rsidR="00204D40">
              <w:rPr>
                <w:rFonts w:ascii="Verdana" w:hAnsi="Verdana" w:cs="Arial"/>
                <w:color w:val="000080"/>
                <w:sz w:val="20"/>
              </w:rPr>
              <w:t>,</w:t>
            </w:r>
            <w:r w:rsidR="004D1872">
              <w:rPr>
                <w:rFonts w:ascii="Verdana" w:hAnsi="Verdana" w:cs="Arial"/>
                <w:color w:val="000080"/>
                <w:sz w:val="20"/>
              </w:rPr>
              <w:t xml:space="preserve"> Huesca</w:t>
            </w:r>
            <w:r w:rsidR="009C5CF8">
              <w:rPr>
                <w:rFonts w:ascii="Verdana" w:hAnsi="Verdana" w:cs="Arial"/>
                <w:color w:val="000080"/>
                <w:sz w:val="20"/>
              </w:rPr>
              <w:t>;</w:t>
            </w:r>
            <w:bookmarkStart w:id="1" w:name="_GoBack"/>
            <w:bookmarkEnd w:id="1"/>
            <w:r w:rsidR="004D1872">
              <w:rPr>
                <w:rFonts w:ascii="Verdana" w:hAnsi="Verdana" w:cs="Arial"/>
                <w:color w:val="000080"/>
                <w:sz w:val="20"/>
              </w:rPr>
              <w:t xml:space="preserve"> </w:t>
            </w:r>
            <w:r w:rsidR="00204D40">
              <w:rPr>
                <w:rFonts w:ascii="Verdana" w:hAnsi="Verdana" w:cs="Arial"/>
                <w:color w:val="000080"/>
                <w:sz w:val="20"/>
              </w:rPr>
              <w:t xml:space="preserve">Aula informática I, </w:t>
            </w:r>
            <w:proofErr w:type="spellStart"/>
            <w:r w:rsidR="00204D40">
              <w:rPr>
                <w:rFonts w:ascii="Verdana" w:hAnsi="Verdana" w:cs="Arial"/>
                <w:color w:val="000080"/>
                <w:sz w:val="20"/>
              </w:rPr>
              <w:t>Fac</w:t>
            </w:r>
            <w:proofErr w:type="spellEnd"/>
            <w:r w:rsidR="00204D40">
              <w:rPr>
                <w:rFonts w:ascii="Verdana" w:hAnsi="Verdana" w:cs="Arial"/>
                <w:color w:val="000080"/>
                <w:sz w:val="20"/>
              </w:rPr>
              <w:t>. CC. Sociales y Humanas, Teruel.</w:t>
            </w:r>
          </w:p>
          <w:p w:rsidR="00C74DF3" w:rsidRPr="001B7168" w:rsidRDefault="00204D40" w:rsidP="00C74DF3">
            <w:pPr>
              <w:spacing w:before="40" w:after="40"/>
              <w:jc w:val="both"/>
            </w:pPr>
            <w:r>
              <w:rPr>
                <w:rFonts w:ascii="Verdana" w:hAnsi="Verdana" w:cs="Arial"/>
                <w:color w:val="000080"/>
                <w:sz w:val="20"/>
              </w:rPr>
              <w:t>I</w:t>
            </w:r>
            <w:r w:rsidR="00AF65EF">
              <w:rPr>
                <w:rFonts w:ascii="Verdana" w:hAnsi="Verdana" w:cs="Arial"/>
                <w:color w:val="000080"/>
                <w:sz w:val="20"/>
              </w:rPr>
              <w:t>mpartición</w:t>
            </w:r>
            <w:r w:rsidR="00F46A71">
              <w:rPr>
                <w:rFonts w:ascii="Verdana" w:hAnsi="Verdana" w:cs="Arial"/>
                <w:color w:val="000080"/>
                <w:sz w:val="20"/>
              </w:rPr>
              <w:t xml:space="preserve"> virtual de la monitora, a través de Google </w:t>
            </w:r>
            <w:proofErr w:type="spellStart"/>
            <w:r w:rsidR="00F46A71">
              <w:rPr>
                <w:rFonts w:ascii="Verdana" w:hAnsi="Verdana" w:cs="Arial"/>
                <w:color w:val="000080"/>
                <w:sz w:val="20"/>
              </w:rPr>
              <w:t>Meet</w:t>
            </w:r>
            <w:proofErr w:type="spellEnd"/>
            <w:r w:rsidR="00F46A71">
              <w:rPr>
                <w:rFonts w:ascii="Verdana" w:hAnsi="Verdana" w:cs="Arial"/>
                <w:color w:val="000080"/>
                <w:sz w:val="20"/>
              </w:rPr>
              <w:t>.</w:t>
            </w:r>
            <w:bookmarkEnd w:id="0"/>
          </w:p>
        </w:tc>
      </w:tr>
      <w:tr w:rsidR="00C74DF3">
        <w:trPr>
          <w:tblCellSpacing w:w="20" w:type="dxa"/>
          <w:jc w:val="center"/>
        </w:trPr>
        <w:tc>
          <w:tcPr>
            <w:tcW w:w="2144" w:type="dxa"/>
            <w:shd w:val="clear" w:color="auto" w:fill="FFCC00"/>
            <w:vAlign w:val="center"/>
          </w:tcPr>
          <w:p w:rsidR="00C74DF3" w:rsidRDefault="00C74DF3">
            <w:pPr>
              <w:spacing w:before="40" w:after="40"/>
              <w:ind w:left="290"/>
              <w:jc w:val="right"/>
              <w:rPr>
                <w:rFonts w:ascii="Verdana" w:hAnsi="Verdana" w:cs="Arial"/>
                <w:b/>
                <w:bCs/>
                <w:color w:val="000080"/>
                <w:sz w:val="20"/>
              </w:rPr>
            </w:pPr>
            <w:r>
              <w:rPr>
                <w:rFonts w:ascii="Verdana" w:hAnsi="Verdana" w:cs="Arial"/>
                <w:b/>
                <w:bCs/>
                <w:color w:val="000080"/>
                <w:sz w:val="20"/>
              </w:rPr>
              <w:t xml:space="preserve">Profesorado: </w:t>
            </w:r>
          </w:p>
        </w:tc>
        <w:tc>
          <w:tcPr>
            <w:tcW w:w="8096" w:type="dxa"/>
            <w:shd w:val="clear" w:color="auto" w:fill="FFFFCC"/>
          </w:tcPr>
          <w:p w:rsidR="00582AC4" w:rsidRDefault="00582AC4" w:rsidP="00C74DF3">
            <w:pPr>
              <w:spacing w:before="40" w:after="40"/>
              <w:jc w:val="both"/>
              <w:rPr>
                <w:rFonts w:ascii="Verdana" w:hAnsi="Verdana" w:cs="Arial"/>
                <w:color w:val="000080"/>
                <w:sz w:val="20"/>
              </w:rPr>
            </w:pPr>
            <w:r>
              <w:rPr>
                <w:rFonts w:ascii="Verdana" w:hAnsi="Verdana" w:cs="Arial"/>
                <w:color w:val="000080"/>
                <w:sz w:val="20"/>
              </w:rPr>
              <w:t xml:space="preserve">Proporcionado por </w:t>
            </w:r>
            <w:r w:rsidR="002A2210">
              <w:rPr>
                <w:rFonts w:ascii="Verdana" w:hAnsi="Verdana" w:cs="Arial"/>
                <w:color w:val="000080"/>
                <w:sz w:val="20"/>
              </w:rPr>
              <w:t>el Observatorio de Igualdad de Género.</w:t>
            </w:r>
            <w:r>
              <w:rPr>
                <w:rFonts w:ascii="Verdana" w:hAnsi="Verdana" w:cs="Arial"/>
                <w:color w:val="000080"/>
                <w:sz w:val="20"/>
              </w:rPr>
              <w:t xml:space="preserve"> </w:t>
            </w:r>
          </w:p>
          <w:p w:rsidR="00F87BD7" w:rsidRDefault="0057558E" w:rsidP="00C74DF3">
            <w:pPr>
              <w:spacing w:before="40" w:after="40"/>
              <w:jc w:val="both"/>
              <w:rPr>
                <w:rFonts w:ascii="Verdana" w:hAnsi="Verdana" w:cs="Arial"/>
                <w:color w:val="000080"/>
                <w:sz w:val="20"/>
              </w:rPr>
            </w:pPr>
            <w:r>
              <w:rPr>
                <w:rFonts w:ascii="Verdana" w:hAnsi="Verdana" w:cs="Arial"/>
                <w:color w:val="000080"/>
                <w:sz w:val="20"/>
              </w:rPr>
              <w:t>Monitor</w:t>
            </w:r>
            <w:r w:rsidR="00F87BD7">
              <w:rPr>
                <w:rFonts w:ascii="Verdana" w:hAnsi="Verdana" w:cs="Arial"/>
                <w:color w:val="000080"/>
                <w:sz w:val="20"/>
              </w:rPr>
              <w:t>a</w:t>
            </w:r>
            <w:r>
              <w:rPr>
                <w:rFonts w:ascii="Verdana" w:hAnsi="Verdana" w:cs="Arial"/>
                <w:color w:val="000080"/>
                <w:sz w:val="20"/>
              </w:rPr>
              <w:t xml:space="preserve"> </w:t>
            </w:r>
            <w:r w:rsidR="00F87BD7">
              <w:rPr>
                <w:rFonts w:ascii="Verdana" w:hAnsi="Verdana" w:cs="Arial"/>
                <w:color w:val="000080"/>
                <w:sz w:val="20"/>
              </w:rPr>
              <w:t>externa</w:t>
            </w:r>
            <w:r w:rsidR="0009023A">
              <w:rPr>
                <w:rFonts w:ascii="Verdana" w:hAnsi="Verdana" w:cs="Arial"/>
                <w:color w:val="000080"/>
                <w:sz w:val="20"/>
              </w:rPr>
              <w:t xml:space="preserve"> de la UZ</w:t>
            </w:r>
            <w:r>
              <w:rPr>
                <w:rFonts w:ascii="Verdana" w:hAnsi="Verdana" w:cs="Arial"/>
                <w:color w:val="000080"/>
                <w:sz w:val="20"/>
              </w:rPr>
              <w:t xml:space="preserve">: </w:t>
            </w:r>
            <w:r w:rsidR="00F87BD7">
              <w:rPr>
                <w:rFonts w:ascii="Verdana" w:hAnsi="Verdana" w:cs="Arial"/>
                <w:color w:val="000080"/>
                <w:sz w:val="20"/>
              </w:rPr>
              <w:t xml:space="preserve">Srª. Dª. </w:t>
            </w:r>
            <w:proofErr w:type="spellStart"/>
            <w:r w:rsidR="00F87BD7">
              <w:rPr>
                <w:rFonts w:ascii="Verdana" w:hAnsi="Verdana" w:cs="Arial"/>
                <w:color w:val="000080"/>
                <w:sz w:val="20"/>
              </w:rPr>
              <w:t>Mª</w:t>
            </w:r>
            <w:proofErr w:type="spellEnd"/>
            <w:r w:rsidR="00F87BD7">
              <w:rPr>
                <w:rFonts w:ascii="Verdana" w:hAnsi="Verdana" w:cs="Arial"/>
                <w:color w:val="000080"/>
                <w:sz w:val="20"/>
              </w:rPr>
              <w:t>. Cinta Sanz Polo.</w:t>
            </w:r>
          </w:p>
          <w:p w:rsidR="00F87BD7" w:rsidRPr="00F87BD7" w:rsidRDefault="00F87BD7" w:rsidP="00F87BD7">
            <w:pPr>
              <w:spacing w:before="40" w:after="40"/>
              <w:jc w:val="both"/>
              <w:rPr>
                <w:rFonts w:ascii="Verdana" w:hAnsi="Verdana" w:cs="Arial"/>
                <w:color w:val="000080"/>
                <w:sz w:val="20"/>
              </w:rPr>
            </w:pPr>
            <w:r w:rsidRPr="00F87BD7">
              <w:rPr>
                <w:rFonts w:ascii="Verdana" w:hAnsi="Verdana" w:cs="Arial"/>
                <w:color w:val="000080"/>
                <w:sz w:val="20"/>
              </w:rPr>
              <w:t>Inspectora de Trabajo y Seguridad Social</w:t>
            </w:r>
            <w:r w:rsidR="00D1434A">
              <w:rPr>
                <w:rFonts w:ascii="Verdana" w:hAnsi="Verdana" w:cs="Arial"/>
                <w:color w:val="000080"/>
                <w:sz w:val="20"/>
              </w:rPr>
              <w:t>.</w:t>
            </w:r>
          </w:p>
          <w:p w:rsidR="00F87BD7" w:rsidRPr="00F87BD7" w:rsidRDefault="00F87BD7" w:rsidP="00F87BD7">
            <w:pPr>
              <w:spacing w:before="40" w:after="40"/>
              <w:jc w:val="both"/>
              <w:rPr>
                <w:rFonts w:ascii="Verdana" w:hAnsi="Verdana" w:cs="Arial"/>
                <w:color w:val="000080"/>
                <w:sz w:val="20"/>
              </w:rPr>
            </w:pPr>
            <w:r w:rsidRPr="00F87BD7">
              <w:rPr>
                <w:rFonts w:ascii="Verdana" w:hAnsi="Verdana" w:cs="Arial"/>
                <w:color w:val="000080"/>
                <w:sz w:val="20"/>
              </w:rPr>
              <w:t>Unidad de Lucha contra la Discriminación.</w:t>
            </w:r>
          </w:p>
          <w:p w:rsidR="00C74DF3" w:rsidRPr="00215518" w:rsidRDefault="00F87BD7" w:rsidP="00F87BD7">
            <w:pPr>
              <w:spacing w:before="40" w:after="40"/>
              <w:jc w:val="both"/>
              <w:rPr>
                <w:rFonts w:ascii="Verdana" w:hAnsi="Verdana" w:cs="Arial"/>
                <w:color w:val="000080"/>
                <w:sz w:val="20"/>
              </w:rPr>
            </w:pPr>
            <w:r w:rsidRPr="00F87BD7">
              <w:rPr>
                <w:rFonts w:ascii="Verdana" w:hAnsi="Verdana" w:cs="Arial"/>
                <w:color w:val="000080"/>
                <w:sz w:val="20"/>
              </w:rPr>
              <w:t>Organismo Estatal de la Inspección de Trabajo y Seguridad</w:t>
            </w:r>
            <w:r>
              <w:rPr>
                <w:rFonts w:ascii="Verdana" w:hAnsi="Verdana" w:cs="Arial"/>
                <w:color w:val="000080"/>
                <w:sz w:val="20"/>
              </w:rPr>
              <w:t>.</w:t>
            </w:r>
          </w:p>
        </w:tc>
      </w:tr>
      <w:tr w:rsidR="004D6FFA">
        <w:trPr>
          <w:tblCellSpacing w:w="20" w:type="dxa"/>
          <w:jc w:val="center"/>
        </w:trPr>
        <w:tc>
          <w:tcPr>
            <w:tcW w:w="2144" w:type="dxa"/>
            <w:shd w:val="clear" w:color="auto" w:fill="FFCC00"/>
            <w:vAlign w:val="center"/>
          </w:tcPr>
          <w:p w:rsidR="004D6FFA" w:rsidRDefault="004D6FFA">
            <w:pPr>
              <w:spacing w:before="40" w:after="40"/>
              <w:ind w:left="290"/>
              <w:jc w:val="right"/>
              <w:rPr>
                <w:rFonts w:ascii="Verdana" w:hAnsi="Verdana" w:cs="Arial"/>
                <w:b/>
                <w:bCs/>
                <w:color w:val="000080"/>
                <w:sz w:val="20"/>
              </w:rPr>
            </w:pPr>
            <w:r>
              <w:rPr>
                <w:rFonts w:ascii="Verdana" w:hAnsi="Verdana" w:cs="Arial"/>
                <w:b/>
                <w:bCs/>
                <w:color w:val="000080"/>
                <w:sz w:val="20"/>
              </w:rPr>
              <w:t xml:space="preserve">Certificado: </w:t>
            </w:r>
          </w:p>
        </w:tc>
        <w:tc>
          <w:tcPr>
            <w:tcW w:w="8096" w:type="dxa"/>
            <w:shd w:val="clear" w:color="auto" w:fill="FFFFCC"/>
          </w:tcPr>
          <w:p w:rsidR="004D6FFA" w:rsidRDefault="00C74DF3">
            <w:pPr>
              <w:spacing w:before="40" w:after="40"/>
              <w:jc w:val="both"/>
              <w:rPr>
                <w:rFonts w:ascii="Verdana" w:hAnsi="Verdana" w:cs="Arial"/>
                <w:color w:val="000080"/>
                <w:sz w:val="20"/>
              </w:rPr>
            </w:pPr>
            <w:r w:rsidRPr="00C74DF3">
              <w:rPr>
                <w:rFonts w:ascii="Verdana" w:hAnsi="Verdana" w:cs="Arial"/>
                <w:color w:val="000080"/>
                <w:sz w:val="20"/>
              </w:rPr>
              <w:t xml:space="preserve">Se otorgará a los participantes Certificado de Asistencia y Aprovechamiento, siendo requisito necesario para obtenerlo la asistencia a clase durante al menos </w:t>
            </w:r>
            <w:r w:rsidRPr="00C74DF3">
              <w:rPr>
                <w:rFonts w:ascii="Verdana" w:hAnsi="Verdana" w:cs="Arial"/>
                <w:color w:val="000080"/>
                <w:sz w:val="20"/>
              </w:rPr>
              <w:lastRenderedPageBreak/>
              <w:t>el 90 % del horario lectivo y la superación de las pruebas de evaluación de conocimientos que se realicen en el curso.</w:t>
            </w:r>
          </w:p>
        </w:tc>
      </w:tr>
      <w:tr w:rsidR="008969A7" w:rsidTr="0009023A">
        <w:trPr>
          <w:trHeight w:val="623"/>
          <w:tblCellSpacing w:w="20" w:type="dxa"/>
          <w:jc w:val="center"/>
        </w:trPr>
        <w:tc>
          <w:tcPr>
            <w:tcW w:w="2144" w:type="dxa"/>
            <w:shd w:val="clear" w:color="auto" w:fill="FFCC00"/>
          </w:tcPr>
          <w:p w:rsidR="008969A7" w:rsidRDefault="008969A7" w:rsidP="00EC7EC1">
            <w:pPr>
              <w:spacing w:before="40" w:after="40"/>
              <w:ind w:left="290"/>
              <w:jc w:val="right"/>
              <w:rPr>
                <w:rFonts w:ascii="Verdana" w:hAnsi="Verdana" w:cs="Arial"/>
                <w:b/>
                <w:bCs/>
                <w:color w:val="000080"/>
                <w:sz w:val="20"/>
              </w:rPr>
            </w:pPr>
            <w:r w:rsidRPr="00EC7EC1">
              <w:rPr>
                <w:rFonts w:ascii="Verdana" w:hAnsi="Verdana" w:cs="Arial"/>
                <w:b/>
                <w:bCs/>
                <w:color w:val="000080"/>
                <w:sz w:val="20"/>
              </w:rPr>
              <w:lastRenderedPageBreak/>
              <w:t>Contenidos</w:t>
            </w:r>
            <w:r>
              <w:rPr>
                <w:rFonts w:ascii="Verdana" w:hAnsi="Verdana" w:cs="Arial"/>
                <w:b/>
                <w:bCs/>
                <w:color w:val="000080"/>
                <w:sz w:val="20"/>
              </w:rPr>
              <w:t>:</w:t>
            </w:r>
          </w:p>
        </w:tc>
        <w:tc>
          <w:tcPr>
            <w:tcW w:w="8096" w:type="dxa"/>
            <w:shd w:val="clear" w:color="auto" w:fill="FFFFCC"/>
          </w:tcPr>
          <w:p w:rsidR="00F87BD7" w:rsidRDefault="00F87BD7" w:rsidP="00F87BD7">
            <w:pPr>
              <w:numPr>
                <w:ilvl w:val="0"/>
                <w:numId w:val="7"/>
              </w:numPr>
              <w:spacing w:before="40"/>
              <w:ind w:right="82"/>
              <w:jc w:val="both"/>
              <w:rPr>
                <w:rFonts w:ascii="Verdana" w:hAnsi="Verdana" w:cs="Arial"/>
                <w:color w:val="000080"/>
                <w:sz w:val="20"/>
              </w:rPr>
            </w:pPr>
            <w:r w:rsidRPr="00F87BD7">
              <w:rPr>
                <w:rFonts w:ascii="Verdana" w:hAnsi="Verdana" w:cs="Arial"/>
                <w:color w:val="000080"/>
                <w:sz w:val="20"/>
              </w:rPr>
              <w:t xml:space="preserve">Derecho a la no discriminación en el acceso al empleo y en la relación laboral por razón de sexo </w:t>
            </w:r>
          </w:p>
          <w:p w:rsidR="00F87BD7" w:rsidRDefault="00F87BD7" w:rsidP="00F87BD7">
            <w:pPr>
              <w:numPr>
                <w:ilvl w:val="1"/>
                <w:numId w:val="7"/>
              </w:numPr>
              <w:spacing w:before="40"/>
              <w:ind w:right="82"/>
              <w:jc w:val="both"/>
              <w:rPr>
                <w:rFonts w:ascii="Verdana" w:hAnsi="Verdana" w:cs="Arial"/>
                <w:color w:val="000080"/>
                <w:sz w:val="20"/>
              </w:rPr>
            </w:pPr>
            <w:r w:rsidRPr="00F87BD7">
              <w:rPr>
                <w:rFonts w:ascii="Verdana" w:hAnsi="Verdana" w:cs="Arial"/>
                <w:color w:val="000080"/>
                <w:sz w:val="20"/>
              </w:rPr>
              <w:t xml:space="preserve">Especial referencia al derecho a la igualdad retributiva entre mujeres y hombres </w:t>
            </w:r>
          </w:p>
          <w:p w:rsidR="00F87BD7" w:rsidRDefault="00F87BD7" w:rsidP="00F87BD7">
            <w:pPr>
              <w:numPr>
                <w:ilvl w:val="0"/>
                <w:numId w:val="7"/>
              </w:numPr>
              <w:spacing w:before="40"/>
              <w:ind w:right="82"/>
              <w:jc w:val="both"/>
              <w:rPr>
                <w:rFonts w:ascii="Verdana" w:hAnsi="Verdana" w:cs="Arial"/>
                <w:color w:val="000080"/>
                <w:sz w:val="20"/>
              </w:rPr>
            </w:pPr>
            <w:r w:rsidRPr="00F87BD7">
              <w:rPr>
                <w:rFonts w:ascii="Verdana" w:hAnsi="Verdana" w:cs="Arial"/>
                <w:color w:val="000080"/>
                <w:sz w:val="20"/>
              </w:rPr>
              <w:t>Medidas y planes de igualdad en las empresas y en la Administración Pública</w:t>
            </w:r>
            <w:r>
              <w:rPr>
                <w:rFonts w:ascii="Verdana" w:hAnsi="Verdana" w:cs="Arial"/>
                <w:color w:val="000080"/>
                <w:sz w:val="20"/>
              </w:rPr>
              <w:t>.</w:t>
            </w:r>
          </w:p>
          <w:p w:rsidR="00F87BD7" w:rsidRDefault="00F87BD7" w:rsidP="00F87BD7">
            <w:pPr>
              <w:numPr>
                <w:ilvl w:val="0"/>
                <w:numId w:val="7"/>
              </w:numPr>
              <w:spacing w:before="40"/>
              <w:ind w:right="82"/>
              <w:jc w:val="both"/>
              <w:rPr>
                <w:rFonts w:ascii="Verdana" w:hAnsi="Verdana" w:cs="Arial"/>
                <w:color w:val="000080"/>
                <w:sz w:val="20"/>
              </w:rPr>
            </w:pPr>
            <w:r w:rsidRPr="00F87BD7">
              <w:rPr>
                <w:rFonts w:ascii="Verdana" w:hAnsi="Verdana" w:cs="Arial"/>
                <w:color w:val="000080"/>
                <w:sz w:val="20"/>
              </w:rPr>
              <w:t>Derechos de conciliación de la vida familiar y laboral. Especial referencia a los permisos de maternidad y paternidad</w:t>
            </w:r>
            <w:r>
              <w:rPr>
                <w:rFonts w:ascii="Verdana" w:hAnsi="Verdana" w:cs="Arial"/>
                <w:color w:val="000080"/>
                <w:sz w:val="20"/>
              </w:rPr>
              <w:t>.</w:t>
            </w:r>
          </w:p>
          <w:p w:rsidR="00F87BD7" w:rsidRDefault="00F87BD7" w:rsidP="00F87BD7">
            <w:pPr>
              <w:numPr>
                <w:ilvl w:val="0"/>
                <w:numId w:val="7"/>
              </w:numPr>
              <w:spacing w:before="40"/>
              <w:ind w:right="82"/>
              <w:jc w:val="both"/>
              <w:rPr>
                <w:rFonts w:ascii="Verdana" w:hAnsi="Verdana" w:cs="Arial"/>
                <w:color w:val="000080"/>
                <w:sz w:val="20"/>
              </w:rPr>
            </w:pPr>
            <w:r w:rsidRPr="00F87BD7">
              <w:rPr>
                <w:rFonts w:ascii="Verdana" w:hAnsi="Verdana" w:cs="Arial"/>
                <w:color w:val="000080"/>
                <w:sz w:val="20"/>
              </w:rPr>
              <w:t>Acoso sexual y acoso por razón de sexo. Protocolo de Acoso</w:t>
            </w:r>
            <w:r>
              <w:rPr>
                <w:rFonts w:ascii="Verdana" w:hAnsi="Verdana" w:cs="Arial"/>
                <w:color w:val="000080"/>
                <w:sz w:val="20"/>
              </w:rPr>
              <w:t>.</w:t>
            </w:r>
          </w:p>
          <w:p w:rsidR="00BC27AB" w:rsidRDefault="00F87BD7" w:rsidP="00F87BD7">
            <w:pPr>
              <w:numPr>
                <w:ilvl w:val="0"/>
                <w:numId w:val="7"/>
              </w:numPr>
              <w:spacing w:before="40"/>
              <w:ind w:right="82"/>
              <w:jc w:val="both"/>
              <w:rPr>
                <w:rFonts w:ascii="Verdana" w:hAnsi="Verdana" w:cs="Arial"/>
                <w:color w:val="000080"/>
                <w:sz w:val="20"/>
              </w:rPr>
            </w:pPr>
            <w:r w:rsidRPr="00F87BD7">
              <w:rPr>
                <w:rFonts w:ascii="Verdana" w:hAnsi="Verdana" w:cs="Arial"/>
                <w:color w:val="000080"/>
                <w:sz w:val="20"/>
              </w:rPr>
              <w:t>La Inspección de Trabajo y Seguridad Social como garante de los derechos en materia de igualdad en las relaciones laborales</w:t>
            </w:r>
            <w:r>
              <w:rPr>
                <w:rFonts w:ascii="Verdana" w:hAnsi="Verdana" w:cs="Arial"/>
                <w:color w:val="000080"/>
                <w:sz w:val="20"/>
              </w:rPr>
              <w:t>.</w:t>
            </w:r>
          </w:p>
          <w:p w:rsidR="005B183F" w:rsidRPr="00F87BD7" w:rsidRDefault="00F87BD7" w:rsidP="00F87BD7">
            <w:pPr>
              <w:numPr>
                <w:ilvl w:val="0"/>
                <w:numId w:val="7"/>
              </w:numPr>
              <w:spacing w:before="40"/>
              <w:ind w:right="82"/>
              <w:jc w:val="both"/>
              <w:rPr>
                <w:rFonts w:ascii="Verdana" w:hAnsi="Verdana" w:cs="Arial"/>
                <w:color w:val="000080"/>
                <w:sz w:val="20"/>
              </w:rPr>
            </w:pPr>
            <w:r>
              <w:rPr>
                <w:rFonts w:ascii="Verdana" w:hAnsi="Verdana" w:cs="Arial"/>
                <w:color w:val="000080"/>
                <w:sz w:val="20"/>
              </w:rPr>
              <w:t>Conclusiones y reflexiones.</w:t>
            </w:r>
          </w:p>
        </w:tc>
      </w:tr>
    </w:tbl>
    <w:p w:rsidR="004D6FFA" w:rsidRPr="00B55713" w:rsidRDefault="004D6FFA" w:rsidP="005B183F"/>
    <w:sectPr w:rsidR="004D6FFA" w:rsidRPr="00B55713" w:rsidSect="005B183F">
      <w:pgSz w:w="11906" w:h="16838"/>
      <w:pgMar w:top="1134"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763B"/>
    <w:multiLevelType w:val="multilevel"/>
    <w:tmpl w:val="1224660A"/>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75004BC"/>
    <w:multiLevelType w:val="multilevel"/>
    <w:tmpl w:val="958EE7DA"/>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2DA507A"/>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360801E1"/>
    <w:multiLevelType w:val="multilevel"/>
    <w:tmpl w:val="73086AA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480"/>
        </w:tabs>
        <w:ind w:left="3480" w:hanging="144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730"/>
        </w:tabs>
        <w:ind w:left="5730" w:hanging="2160"/>
      </w:pPr>
      <w:rPr>
        <w:rFonts w:hint="default"/>
      </w:rPr>
    </w:lvl>
    <w:lvl w:ilvl="8">
      <w:start w:val="1"/>
      <w:numFmt w:val="decimal"/>
      <w:lvlText w:val="%1.%2.%3.%4.%5.%6.%7.%8.%9."/>
      <w:lvlJc w:val="left"/>
      <w:pPr>
        <w:tabs>
          <w:tab w:val="num" w:pos="6240"/>
        </w:tabs>
        <w:ind w:left="6240" w:hanging="2160"/>
      </w:pPr>
      <w:rPr>
        <w:rFonts w:hint="default"/>
      </w:rPr>
    </w:lvl>
  </w:abstractNum>
  <w:abstractNum w:abstractNumId="4" w15:restartNumberingAfterBreak="0">
    <w:nsid w:val="3BBD111F"/>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15:restartNumberingAfterBreak="0">
    <w:nsid w:val="4D6E3E75"/>
    <w:multiLevelType w:val="hybridMultilevel"/>
    <w:tmpl w:val="95625F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F64431"/>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15:restartNumberingAfterBreak="0">
    <w:nsid w:val="57285016"/>
    <w:multiLevelType w:val="hybridMultilevel"/>
    <w:tmpl w:val="09DC7FC0"/>
    <w:lvl w:ilvl="0" w:tplc="1D406CE4">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79E3E7E"/>
    <w:multiLevelType w:val="multilevel"/>
    <w:tmpl w:val="DC4E4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15:restartNumberingAfterBreak="0">
    <w:nsid w:val="77B37090"/>
    <w:multiLevelType w:val="hybridMultilevel"/>
    <w:tmpl w:val="430C79DA"/>
    <w:lvl w:ilvl="0" w:tplc="1CDA208E">
      <w:start w:val="1"/>
      <w:numFmt w:val="bullet"/>
      <w:lvlText w:val=""/>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B65B28"/>
    <w:multiLevelType w:val="multilevel"/>
    <w:tmpl w:val="389408F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480"/>
        </w:tabs>
        <w:ind w:left="3480" w:hanging="144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730"/>
        </w:tabs>
        <w:ind w:left="5730" w:hanging="2160"/>
      </w:pPr>
      <w:rPr>
        <w:rFonts w:hint="default"/>
      </w:rPr>
    </w:lvl>
    <w:lvl w:ilvl="8">
      <w:start w:val="1"/>
      <w:numFmt w:val="decimal"/>
      <w:lvlText w:val="%1.%2.%3.%4.%5.%6.%7.%8.%9."/>
      <w:lvlJc w:val="left"/>
      <w:pPr>
        <w:tabs>
          <w:tab w:val="num" w:pos="6240"/>
        </w:tabs>
        <w:ind w:left="6240" w:hanging="2160"/>
      </w:pPr>
      <w:rPr>
        <w:rFonts w:hint="default"/>
      </w:rPr>
    </w:lvl>
  </w:abstractNum>
  <w:num w:numId="1">
    <w:abstractNumId w:val="2"/>
  </w:num>
  <w:num w:numId="2">
    <w:abstractNumId w:val="5"/>
  </w:num>
  <w:num w:numId="3">
    <w:abstractNumId w:val="1"/>
  </w:num>
  <w:num w:numId="4">
    <w:abstractNumId w:val="0"/>
  </w:num>
  <w:num w:numId="5">
    <w:abstractNumId w:val="10"/>
  </w:num>
  <w:num w:numId="6">
    <w:abstractNumId w:val="3"/>
  </w:num>
  <w:num w:numId="7">
    <w:abstractNumId w:val="8"/>
  </w:num>
  <w:num w:numId="8">
    <w:abstractNumId w:val="9"/>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9E"/>
    <w:rsid w:val="00010B17"/>
    <w:rsid w:val="0009023A"/>
    <w:rsid w:val="000B44AA"/>
    <w:rsid w:val="000F6382"/>
    <w:rsid w:val="001225E1"/>
    <w:rsid w:val="00164C03"/>
    <w:rsid w:val="00171194"/>
    <w:rsid w:val="00184CE3"/>
    <w:rsid w:val="001D170C"/>
    <w:rsid w:val="001E0402"/>
    <w:rsid w:val="001E0BD8"/>
    <w:rsid w:val="00204D40"/>
    <w:rsid w:val="00215518"/>
    <w:rsid w:val="00240D88"/>
    <w:rsid w:val="002A2210"/>
    <w:rsid w:val="002F785D"/>
    <w:rsid w:val="00347335"/>
    <w:rsid w:val="003830E8"/>
    <w:rsid w:val="003839C4"/>
    <w:rsid w:val="003B3EBF"/>
    <w:rsid w:val="00402B1C"/>
    <w:rsid w:val="00405B4A"/>
    <w:rsid w:val="004358BD"/>
    <w:rsid w:val="00444F9D"/>
    <w:rsid w:val="00474089"/>
    <w:rsid w:val="004A503F"/>
    <w:rsid w:val="004B6241"/>
    <w:rsid w:val="004D1872"/>
    <w:rsid w:val="004D411D"/>
    <w:rsid w:val="004D643F"/>
    <w:rsid w:val="004D6FFA"/>
    <w:rsid w:val="00501845"/>
    <w:rsid w:val="005155DC"/>
    <w:rsid w:val="005343B4"/>
    <w:rsid w:val="00551048"/>
    <w:rsid w:val="0057558E"/>
    <w:rsid w:val="00582AC4"/>
    <w:rsid w:val="005B183F"/>
    <w:rsid w:val="005E7256"/>
    <w:rsid w:val="00614AEF"/>
    <w:rsid w:val="00623284"/>
    <w:rsid w:val="006735F0"/>
    <w:rsid w:val="006E6E91"/>
    <w:rsid w:val="006F4F9D"/>
    <w:rsid w:val="00717B61"/>
    <w:rsid w:val="00721A9A"/>
    <w:rsid w:val="00730135"/>
    <w:rsid w:val="007814E3"/>
    <w:rsid w:val="007B3F52"/>
    <w:rsid w:val="007C295A"/>
    <w:rsid w:val="007D7E7C"/>
    <w:rsid w:val="00835008"/>
    <w:rsid w:val="00887DE4"/>
    <w:rsid w:val="008926DC"/>
    <w:rsid w:val="008969A7"/>
    <w:rsid w:val="008F03C5"/>
    <w:rsid w:val="009232C0"/>
    <w:rsid w:val="009268B7"/>
    <w:rsid w:val="0098219E"/>
    <w:rsid w:val="009915C2"/>
    <w:rsid w:val="009A2930"/>
    <w:rsid w:val="009B5AFD"/>
    <w:rsid w:val="009C5CF8"/>
    <w:rsid w:val="009D3F27"/>
    <w:rsid w:val="00A03FE4"/>
    <w:rsid w:val="00A1420B"/>
    <w:rsid w:val="00A1559F"/>
    <w:rsid w:val="00A71099"/>
    <w:rsid w:val="00A76167"/>
    <w:rsid w:val="00A86F44"/>
    <w:rsid w:val="00AF65EF"/>
    <w:rsid w:val="00B0291A"/>
    <w:rsid w:val="00B042D0"/>
    <w:rsid w:val="00B10E1E"/>
    <w:rsid w:val="00B55713"/>
    <w:rsid w:val="00B804F8"/>
    <w:rsid w:val="00BB2A73"/>
    <w:rsid w:val="00BC27AB"/>
    <w:rsid w:val="00BD18B6"/>
    <w:rsid w:val="00BD2EA2"/>
    <w:rsid w:val="00BD54D4"/>
    <w:rsid w:val="00BE7C53"/>
    <w:rsid w:val="00C254B6"/>
    <w:rsid w:val="00C31A39"/>
    <w:rsid w:val="00C74DF3"/>
    <w:rsid w:val="00CA20B0"/>
    <w:rsid w:val="00D03C7F"/>
    <w:rsid w:val="00D1434A"/>
    <w:rsid w:val="00D42519"/>
    <w:rsid w:val="00D53C40"/>
    <w:rsid w:val="00D55727"/>
    <w:rsid w:val="00D55B67"/>
    <w:rsid w:val="00E62DA6"/>
    <w:rsid w:val="00E65F56"/>
    <w:rsid w:val="00E83033"/>
    <w:rsid w:val="00EB29AD"/>
    <w:rsid w:val="00EC3C34"/>
    <w:rsid w:val="00EC7EC1"/>
    <w:rsid w:val="00EE5990"/>
    <w:rsid w:val="00F02BD0"/>
    <w:rsid w:val="00F23854"/>
    <w:rsid w:val="00F30CD1"/>
    <w:rsid w:val="00F36547"/>
    <w:rsid w:val="00F373A3"/>
    <w:rsid w:val="00F40C6F"/>
    <w:rsid w:val="00F46A71"/>
    <w:rsid w:val="00F55E46"/>
    <w:rsid w:val="00F861C4"/>
    <w:rsid w:val="00F87BD7"/>
    <w:rsid w:val="00F923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C5716"/>
  <w15:docId w15:val="{77A2018D-744D-4362-BF24-B545807F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pBdr>
        <w:top w:val="single" w:sz="4" w:space="1" w:color="auto"/>
        <w:left w:val="single" w:sz="4" w:space="4" w:color="auto"/>
        <w:bottom w:val="single" w:sz="4" w:space="1" w:color="auto"/>
        <w:right w:val="single" w:sz="4" w:space="4" w:color="auto"/>
      </w:pBdr>
      <w:ind w:left="851" w:right="-138" w:hanging="851"/>
      <w:jc w:val="both"/>
    </w:pPr>
    <w:rPr>
      <w:rFonts w:ascii="Verdana" w:hAnsi="Verdana"/>
      <w:b/>
      <w:sz w:val="20"/>
      <w:szCs w:val="20"/>
    </w:rPr>
  </w:style>
  <w:style w:type="paragraph" w:styleId="Textoindependiente">
    <w:name w:val="Body Text"/>
    <w:basedOn w:val="Normal"/>
    <w:pPr>
      <w:jc w:val="both"/>
    </w:pPr>
    <w:rPr>
      <w:szCs w:val="20"/>
    </w:rPr>
  </w:style>
  <w:style w:type="paragraph" w:styleId="Textodeglobo">
    <w:name w:val="Balloon Text"/>
    <w:basedOn w:val="Normal"/>
    <w:link w:val="TextodegloboCar"/>
    <w:rsid w:val="00F02BD0"/>
    <w:rPr>
      <w:rFonts w:ascii="Tahoma" w:hAnsi="Tahoma" w:cs="Tahoma"/>
      <w:sz w:val="16"/>
      <w:szCs w:val="16"/>
    </w:rPr>
  </w:style>
  <w:style w:type="character" w:customStyle="1" w:styleId="TextodegloboCar">
    <w:name w:val="Texto de globo Car"/>
    <w:basedOn w:val="Fuentedeprrafopredeter"/>
    <w:link w:val="Textodeglobo"/>
    <w:rsid w:val="00F02BD0"/>
    <w:rPr>
      <w:rFonts w:ascii="Tahoma" w:hAnsi="Tahoma" w:cs="Tahoma"/>
      <w:sz w:val="16"/>
      <w:szCs w:val="16"/>
    </w:rPr>
  </w:style>
  <w:style w:type="paragraph" w:styleId="Prrafodelista">
    <w:name w:val="List Paragraph"/>
    <w:basedOn w:val="Normal"/>
    <w:uiPriority w:val="34"/>
    <w:qFormat/>
    <w:rsid w:val="00215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2</Pages>
  <Words>631</Words>
  <Characters>3266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CURSO Nº xxx</vt:lpstr>
    </vt:vector>
  </TitlesOfParts>
  <Company>Universidad de Zaragoza</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 Nº xxx</dc:title>
  <dc:creator>marlati</dc:creator>
  <cp:lastModifiedBy>jmvelez</cp:lastModifiedBy>
  <cp:revision>11</cp:revision>
  <cp:lastPrinted>2020-07-23T10:43:00Z</cp:lastPrinted>
  <dcterms:created xsi:type="dcterms:W3CDTF">2021-09-22T12:31:00Z</dcterms:created>
  <dcterms:modified xsi:type="dcterms:W3CDTF">2022-01-12T11:43:00Z</dcterms:modified>
</cp:coreProperties>
</file>