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AF" w:rsidRDefault="00F604AF" w:rsidP="005C092E">
      <w:pPr>
        <w:jc w:val="center"/>
      </w:pPr>
    </w:p>
    <w:p w:rsidR="005C092E" w:rsidRPr="0038390C" w:rsidRDefault="005C092E" w:rsidP="005C092E">
      <w:pPr>
        <w:jc w:val="center"/>
        <w:rPr>
          <w:sz w:val="22"/>
          <w:szCs w:val="22"/>
        </w:rPr>
      </w:pPr>
      <w:r w:rsidRPr="0038390C">
        <w:rPr>
          <w:noProof/>
          <w:sz w:val="22"/>
          <w:szCs w:val="22"/>
          <w:lang w:val="es-ES" w:eastAsia="es-ES"/>
        </w:rPr>
        <w:drawing>
          <wp:inline distT="0" distB="0" distL="0" distR="0" wp14:anchorId="66407934" wp14:editId="5276AC89">
            <wp:extent cx="1381125" cy="6858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92E" w:rsidRPr="0038390C" w:rsidRDefault="005C092E" w:rsidP="005C092E">
      <w:pPr>
        <w:spacing w:before="120"/>
        <w:jc w:val="center"/>
        <w:rPr>
          <w:b/>
          <w:sz w:val="22"/>
          <w:szCs w:val="22"/>
        </w:rPr>
      </w:pPr>
      <w:bookmarkStart w:id="0" w:name="_Toc157920217"/>
      <w:bookmarkStart w:id="1" w:name="_Toc159211904"/>
      <w:bookmarkStart w:id="2" w:name="_Toc159212660"/>
      <w:bookmarkStart w:id="3" w:name="_Toc159212879"/>
      <w:bookmarkStart w:id="4" w:name="_Toc159213195"/>
      <w:r w:rsidRPr="0038390C">
        <w:rPr>
          <w:b/>
          <w:sz w:val="22"/>
          <w:szCs w:val="22"/>
        </w:rPr>
        <w:t>Contracting Authority: EU Delegation to Egypt</w:t>
      </w:r>
      <w:bookmarkEnd w:id="0"/>
      <w:bookmarkEnd w:id="1"/>
      <w:bookmarkEnd w:id="2"/>
      <w:bookmarkEnd w:id="3"/>
      <w:bookmarkEnd w:id="4"/>
    </w:p>
    <w:p w:rsidR="005C092E" w:rsidRPr="0038390C" w:rsidRDefault="005C092E" w:rsidP="005C092E">
      <w:pPr>
        <w:spacing w:before="120"/>
        <w:jc w:val="center"/>
        <w:rPr>
          <w:b/>
          <w:sz w:val="22"/>
          <w:szCs w:val="22"/>
        </w:rPr>
      </w:pPr>
    </w:p>
    <w:p w:rsidR="005C092E" w:rsidRPr="0038390C" w:rsidRDefault="005C092E" w:rsidP="005C092E">
      <w:pPr>
        <w:spacing w:before="120"/>
        <w:jc w:val="center"/>
        <w:rPr>
          <w:b/>
          <w:sz w:val="22"/>
          <w:szCs w:val="22"/>
        </w:rPr>
      </w:pPr>
      <w:bookmarkStart w:id="5" w:name="_Toc157920218"/>
      <w:bookmarkStart w:id="6" w:name="_Toc159211905"/>
      <w:bookmarkStart w:id="7" w:name="_Toc159212661"/>
      <w:bookmarkStart w:id="8" w:name="_Toc159212880"/>
      <w:bookmarkStart w:id="9" w:name="_Toc159213196"/>
      <w:r w:rsidRPr="0038390C">
        <w:rPr>
          <w:b/>
          <w:sz w:val="22"/>
          <w:szCs w:val="22"/>
        </w:rPr>
        <w:t>Support to the Modernization of the administration of Justice</w:t>
      </w:r>
      <w:bookmarkEnd w:id="5"/>
      <w:bookmarkEnd w:id="6"/>
      <w:bookmarkEnd w:id="7"/>
      <w:bookmarkEnd w:id="8"/>
      <w:bookmarkEnd w:id="9"/>
    </w:p>
    <w:p w:rsidR="005C092E" w:rsidRPr="0038390C" w:rsidRDefault="005C092E" w:rsidP="005C092E">
      <w:pPr>
        <w:spacing w:before="120"/>
        <w:jc w:val="center"/>
        <w:rPr>
          <w:b/>
          <w:sz w:val="22"/>
          <w:szCs w:val="22"/>
        </w:rPr>
      </w:pPr>
      <w:r w:rsidRPr="0038390C">
        <w:rPr>
          <w:b/>
          <w:sz w:val="22"/>
          <w:szCs w:val="22"/>
        </w:rPr>
        <w:t>Grant Application Form</w:t>
      </w:r>
    </w:p>
    <w:p w:rsidR="005C092E" w:rsidRPr="0038390C" w:rsidRDefault="005C092E" w:rsidP="005C092E">
      <w:pPr>
        <w:pStyle w:val="SubTitle1"/>
        <w:spacing w:before="120" w:after="0"/>
        <w:rPr>
          <w:sz w:val="22"/>
          <w:szCs w:val="22"/>
          <w:lang w:val="en-GB"/>
        </w:rPr>
      </w:pPr>
      <w:r w:rsidRPr="0038390C">
        <w:rPr>
          <w:b w:val="0"/>
          <w:sz w:val="22"/>
          <w:szCs w:val="22"/>
          <w:lang w:val="en-GB"/>
        </w:rPr>
        <w:t>Budget line(s): European Neighbourhood and Partnership Financial Cooperation with Mediterranean Countries</w:t>
      </w:r>
    </w:p>
    <w:p w:rsidR="005C092E" w:rsidRPr="002F7383" w:rsidRDefault="005C092E" w:rsidP="005C092E">
      <w:pPr>
        <w:spacing w:before="120"/>
        <w:jc w:val="center"/>
        <w:rPr>
          <w:sz w:val="22"/>
          <w:szCs w:val="22"/>
          <w:lang w:val="es-ES"/>
        </w:rPr>
      </w:pPr>
      <w:r w:rsidRPr="002F7383">
        <w:rPr>
          <w:sz w:val="22"/>
          <w:szCs w:val="22"/>
          <w:lang w:val="es-ES"/>
        </w:rPr>
        <w:t>Reference:</w:t>
      </w:r>
      <w:r w:rsidRPr="002F7383">
        <w:rPr>
          <w:b/>
          <w:sz w:val="22"/>
          <w:szCs w:val="22"/>
          <w:lang w:val="es-ES"/>
        </w:rPr>
        <w:t xml:space="preserve"> CRIS: ENPI/2014/347-218</w:t>
      </w:r>
    </w:p>
    <w:p w:rsidR="005C092E" w:rsidRPr="002F7383" w:rsidRDefault="005C092E" w:rsidP="005C092E">
      <w:pPr>
        <w:jc w:val="center"/>
        <w:rPr>
          <w:lang w:val="es-ES"/>
        </w:rPr>
      </w:pPr>
    </w:p>
    <w:p w:rsidR="005C092E" w:rsidRDefault="005C092E" w:rsidP="007C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ES"/>
        </w:rPr>
      </w:pPr>
      <w:r w:rsidRPr="005C092E">
        <w:rPr>
          <w:b/>
          <w:lang w:val="es-ES"/>
        </w:rPr>
        <w:t>EXPERTO JUDICIAL</w:t>
      </w:r>
      <w:r w:rsidR="002F7383">
        <w:rPr>
          <w:b/>
          <w:lang w:val="es-ES"/>
        </w:rPr>
        <w:t xml:space="preserve"> DE MEDIO PLAZO</w:t>
      </w:r>
      <w:r w:rsidRPr="005C092E">
        <w:rPr>
          <w:b/>
          <w:lang w:val="es-ES"/>
        </w:rPr>
        <w:t xml:space="preserve"> PARA EL COMPONENTE 2: “CENTRO NACIONAL DE ESTUDIOS JUDICIALES</w:t>
      </w:r>
      <w:r w:rsidR="009B3DEF">
        <w:rPr>
          <w:b/>
          <w:lang w:val="es-ES"/>
        </w:rPr>
        <w:t xml:space="preserve"> (CNEJ)</w:t>
      </w:r>
      <w:r w:rsidRPr="005C092E">
        <w:rPr>
          <w:b/>
          <w:lang w:val="es-ES"/>
        </w:rPr>
        <w:t>”</w:t>
      </w:r>
    </w:p>
    <w:p w:rsidR="00D92E55" w:rsidRDefault="00D92E55" w:rsidP="007C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ES"/>
        </w:rPr>
      </w:pPr>
    </w:p>
    <w:p w:rsidR="00791213" w:rsidRDefault="00791213" w:rsidP="007C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  <w:lang w:val="es-ES"/>
        </w:rPr>
      </w:pPr>
      <w:r w:rsidRPr="00D329DD">
        <w:rPr>
          <w:b/>
          <w:i/>
          <w:color w:val="FF0000"/>
          <w:lang w:val="es-ES"/>
        </w:rPr>
        <w:t xml:space="preserve">Nota: </w:t>
      </w:r>
      <w:r w:rsidR="00D92E55">
        <w:rPr>
          <w:b/>
          <w:i/>
          <w:color w:val="FF0000"/>
          <w:lang w:val="es-ES"/>
        </w:rPr>
        <w:t xml:space="preserve">Es esencial que el candidato/a presente </w:t>
      </w:r>
      <w:proofErr w:type="spellStart"/>
      <w:r w:rsidR="00D92E55">
        <w:rPr>
          <w:b/>
          <w:i/>
          <w:color w:val="FF0000"/>
          <w:lang w:val="es-ES"/>
        </w:rPr>
        <w:t>Curriculum</w:t>
      </w:r>
      <w:proofErr w:type="spellEnd"/>
      <w:r w:rsidR="00D92E55">
        <w:rPr>
          <w:b/>
          <w:i/>
          <w:color w:val="FF0000"/>
          <w:lang w:val="es-ES"/>
        </w:rPr>
        <w:t xml:space="preserve"> Vitae en inglés en formato </w:t>
      </w:r>
      <w:proofErr w:type="spellStart"/>
      <w:r w:rsidR="00D92E55">
        <w:rPr>
          <w:b/>
          <w:i/>
          <w:color w:val="FF0000"/>
          <w:lang w:val="es-ES"/>
        </w:rPr>
        <w:t>Europass</w:t>
      </w:r>
      <w:proofErr w:type="spellEnd"/>
    </w:p>
    <w:p w:rsidR="00D92E55" w:rsidRDefault="00D92E55" w:rsidP="007C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  <w:lang w:val="es-ES"/>
        </w:rPr>
      </w:pPr>
    </w:p>
    <w:p w:rsidR="00D92E55" w:rsidRDefault="006A5EA9" w:rsidP="007C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  <w:lang w:val="es-ES"/>
        </w:rPr>
      </w:pPr>
      <w:hyperlink r:id="rId9" w:history="1">
        <w:r w:rsidR="00D92E55" w:rsidRPr="00893CCE">
          <w:rPr>
            <w:rStyle w:val="Hipervnculo"/>
            <w:b/>
            <w:i/>
            <w:lang w:val="es-ES"/>
          </w:rPr>
          <w:t>https://europass.cedefop.europa.eu/en/documents/curriculum-vitae</w:t>
        </w:r>
      </w:hyperlink>
    </w:p>
    <w:p w:rsidR="00D92E55" w:rsidRPr="00D329DD" w:rsidRDefault="00D92E55" w:rsidP="007C6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FF0000"/>
          <w:lang w:val="es-ES"/>
        </w:rPr>
      </w:pPr>
    </w:p>
    <w:p w:rsidR="005C092E" w:rsidRDefault="005C092E" w:rsidP="005C092E">
      <w:pPr>
        <w:jc w:val="both"/>
        <w:rPr>
          <w:b/>
          <w:lang w:val="es-ES"/>
        </w:rPr>
      </w:pPr>
    </w:p>
    <w:p w:rsidR="005C092E" w:rsidRPr="005C092E" w:rsidRDefault="005C092E" w:rsidP="005C092E">
      <w:pPr>
        <w:jc w:val="center"/>
        <w:rPr>
          <w:u w:val="single"/>
          <w:lang w:val="es-ES"/>
        </w:rPr>
      </w:pPr>
      <w:r w:rsidRPr="005C092E">
        <w:rPr>
          <w:u w:val="single"/>
          <w:lang w:val="es-ES"/>
        </w:rPr>
        <w:t>TERMINOS DE REFERENCIA</w:t>
      </w:r>
    </w:p>
    <w:p w:rsidR="005C092E" w:rsidRPr="005C092E" w:rsidRDefault="005C092E" w:rsidP="005C092E">
      <w:pPr>
        <w:jc w:val="center"/>
        <w:rPr>
          <w:u w:val="single"/>
          <w:lang w:val="es-ES"/>
        </w:rPr>
      </w:pPr>
    </w:p>
    <w:p w:rsidR="005C092E" w:rsidRDefault="005C092E" w:rsidP="005C092E">
      <w:pPr>
        <w:jc w:val="both"/>
        <w:rPr>
          <w:lang w:val="es-ES"/>
        </w:rPr>
      </w:pPr>
      <w:r>
        <w:rPr>
          <w:b/>
          <w:lang w:val="es-ES"/>
        </w:rPr>
        <w:t xml:space="preserve">PERFIL PROFESIONAL: </w:t>
      </w:r>
      <w:r w:rsidR="004B5CBC">
        <w:rPr>
          <w:lang w:val="es-ES"/>
        </w:rPr>
        <w:t xml:space="preserve">profesional español de la Administración de Justicia con amplia experiencia: </w:t>
      </w:r>
      <w:r w:rsidR="000B291C">
        <w:rPr>
          <w:lang w:val="es-ES"/>
        </w:rPr>
        <w:t>juez/magistrado</w:t>
      </w:r>
      <w:r w:rsidR="004B5CBC">
        <w:rPr>
          <w:lang w:val="es-ES"/>
        </w:rPr>
        <w:t>/a, fiscal, secretario/a judicial</w:t>
      </w:r>
      <w:r w:rsidR="006A5EA9">
        <w:rPr>
          <w:lang w:val="es-ES"/>
        </w:rPr>
        <w:t>. Experto Senior con mucha experiencia práctica.</w:t>
      </w:r>
    </w:p>
    <w:p w:rsidR="005C092E" w:rsidRDefault="005C092E" w:rsidP="005C092E">
      <w:pPr>
        <w:jc w:val="both"/>
        <w:rPr>
          <w:lang w:val="es-ES"/>
        </w:rPr>
      </w:pPr>
    </w:p>
    <w:p w:rsidR="005C092E" w:rsidRDefault="005C092E" w:rsidP="005C092E">
      <w:pPr>
        <w:jc w:val="both"/>
        <w:rPr>
          <w:lang w:val="es-ES"/>
        </w:rPr>
      </w:pPr>
      <w:r w:rsidRPr="005C092E">
        <w:rPr>
          <w:b/>
          <w:lang w:val="es-ES"/>
        </w:rPr>
        <w:t>REQUISITOS MÍNIMOS</w:t>
      </w:r>
      <w:r>
        <w:rPr>
          <w:lang w:val="es-ES"/>
        </w:rPr>
        <w:t>:</w:t>
      </w:r>
    </w:p>
    <w:p w:rsidR="005C092E" w:rsidRDefault="005C092E" w:rsidP="005C092E">
      <w:pPr>
        <w:jc w:val="both"/>
        <w:rPr>
          <w:lang w:val="es-ES"/>
        </w:rPr>
      </w:pPr>
    </w:p>
    <w:p w:rsidR="005C092E" w:rsidRDefault="005C092E" w:rsidP="005C092E">
      <w:pPr>
        <w:jc w:val="both"/>
        <w:rPr>
          <w:lang w:val="es-ES"/>
        </w:rPr>
      </w:pPr>
      <w:r>
        <w:rPr>
          <w:lang w:val="es-ES"/>
        </w:rPr>
        <w:t>1º Al menos 8 años de experiencia profesional desempe</w:t>
      </w:r>
      <w:r w:rsidR="00E3697E">
        <w:rPr>
          <w:lang w:val="es-ES"/>
        </w:rPr>
        <w:t xml:space="preserve">ñando funciones como </w:t>
      </w:r>
      <w:r w:rsidR="00E3697E" w:rsidRPr="007C6045">
        <w:rPr>
          <w:lang w:val="es-ES"/>
        </w:rPr>
        <w:t>juez/fiscal</w:t>
      </w:r>
      <w:r w:rsidR="0042181C">
        <w:rPr>
          <w:lang w:val="es-ES"/>
        </w:rPr>
        <w:t>/</w:t>
      </w:r>
      <w:r w:rsidR="0042181C" w:rsidRPr="006A5EA9">
        <w:rPr>
          <w:lang w:val="es-ES"/>
        </w:rPr>
        <w:t>secretario judicial/profesor universitario de Derecho/funcionario de la Administración General del Estado</w:t>
      </w:r>
      <w:r w:rsidR="0042181C">
        <w:rPr>
          <w:color w:val="FF0000"/>
          <w:lang w:val="es-ES"/>
        </w:rPr>
        <w:t>.</w:t>
      </w:r>
    </w:p>
    <w:p w:rsidR="005C092E" w:rsidRDefault="005C092E" w:rsidP="005C092E">
      <w:pPr>
        <w:jc w:val="both"/>
        <w:rPr>
          <w:lang w:val="es-ES"/>
        </w:rPr>
      </w:pPr>
    </w:p>
    <w:p w:rsidR="005C092E" w:rsidRDefault="005C092E" w:rsidP="005C092E">
      <w:pPr>
        <w:jc w:val="both"/>
        <w:rPr>
          <w:lang w:val="es-ES"/>
        </w:rPr>
      </w:pPr>
      <w:r>
        <w:rPr>
          <w:lang w:val="es-ES"/>
        </w:rPr>
        <w:t xml:space="preserve">2º Al menos debe haber desempeñado durante 3 años funciones relacionadas con la formación inicial y </w:t>
      </w:r>
      <w:r w:rsidR="007C6045">
        <w:rPr>
          <w:lang w:val="es-ES"/>
        </w:rPr>
        <w:t>continúa</w:t>
      </w:r>
      <w:r>
        <w:rPr>
          <w:lang w:val="es-ES"/>
        </w:rPr>
        <w:t xml:space="preserve"> de jueces/fiscales/personal de la Administración de Justicia.</w:t>
      </w:r>
    </w:p>
    <w:p w:rsidR="009F0164" w:rsidRDefault="009F0164" w:rsidP="005C092E">
      <w:pPr>
        <w:jc w:val="both"/>
        <w:rPr>
          <w:lang w:val="es-ES"/>
        </w:rPr>
      </w:pPr>
    </w:p>
    <w:p w:rsidR="00630A47" w:rsidRPr="00630A47" w:rsidRDefault="009F0164" w:rsidP="00630A47">
      <w:pPr>
        <w:jc w:val="both"/>
        <w:rPr>
          <w:lang w:val="es-ES"/>
        </w:rPr>
      </w:pPr>
      <w:r>
        <w:rPr>
          <w:lang w:val="es-ES"/>
        </w:rPr>
        <w:t xml:space="preserve">3º </w:t>
      </w:r>
      <w:r w:rsidR="00630A47" w:rsidRPr="00630A47">
        <w:rPr>
          <w:lang w:val="es-ES"/>
        </w:rPr>
        <w:t xml:space="preserve">Experiencia en </w:t>
      </w:r>
      <w:r w:rsidR="00630A47">
        <w:rPr>
          <w:lang w:val="es-ES"/>
        </w:rPr>
        <w:t>la programación y</w:t>
      </w:r>
      <w:r w:rsidR="00630A47" w:rsidRPr="00630A47">
        <w:rPr>
          <w:lang w:val="es-ES"/>
        </w:rPr>
        <w:t xml:space="preserve"> diseño de currículos e itinerarios formativos di</w:t>
      </w:r>
      <w:r w:rsidR="002B14C9">
        <w:rPr>
          <w:lang w:val="es-ES"/>
        </w:rPr>
        <w:t>rigidos a jueces/</w:t>
      </w:r>
      <w:r w:rsidR="002B14C9" w:rsidRPr="006A5EA9">
        <w:rPr>
          <w:lang w:val="es-ES"/>
        </w:rPr>
        <w:t>fiscales/personal de la administración de justicia.</w:t>
      </w:r>
      <w:r w:rsidR="00630A47" w:rsidRPr="006A5EA9">
        <w:rPr>
          <w:lang w:val="es-ES"/>
        </w:rPr>
        <w:t xml:space="preserve"> </w:t>
      </w:r>
    </w:p>
    <w:p w:rsidR="005C092E" w:rsidRDefault="005C092E" w:rsidP="005C092E">
      <w:pPr>
        <w:jc w:val="both"/>
        <w:rPr>
          <w:lang w:val="es-ES"/>
        </w:rPr>
      </w:pPr>
    </w:p>
    <w:p w:rsidR="005C092E" w:rsidRDefault="009F0164" w:rsidP="005C092E">
      <w:pPr>
        <w:jc w:val="both"/>
        <w:rPr>
          <w:lang w:val="es-ES"/>
        </w:rPr>
      </w:pPr>
      <w:r>
        <w:rPr>
          <w:lang w:val="es-ES"/>
        </w:rPr>
        <w:t>4</w:t>
      </w:r>
      <w:r w:rsidR="005C092E">
        <w:rPr>
          <w:lang w:val="es-ES"/>
        </w:rPr>
        <w:t>º Nivel alto de inglés oral y escrito, con capacidad p</w:t>
      </w:r>
      <w:r w:rsidR="00E3697E">
        <w:rPr>
          <w:lang w:val="es-ES"/>
        </w:rPr>
        <w:t xml:space="preserve">ara mantener reuniones y </w:t>
      </w:r>
      <w:r w:rsidR="00791213" w:rsidRPr="007C6045">
        <w:rPr>
          <w:lang w:val="es-ES"/>
        </w:rPr>
        <w:t>elaborar</w:t>
      </w:r>
      <w:r w:rsidR="005C092E" w:rsidRPr="007C6045">
        <w:rPr>
          <w:lang w:val="es-ES"/>
        </w:rPr>
        <w:t xml:space="preserve"> </w:t>
      </w:r>
      <w:r w:rsidR="005C092E">
        <w:rPr>
          <w:lang w:val="es-ES"/>
        </w:rPr>
        <w:t>informes de con</w:t>
      </w:r>
      <w:bookmarkStart w:id="10" w:name="_GoBack"/>
      <w:bookmarkEnd w:id="10"/>
      <w:r w:rsidR="005C092E">
        <w:rPr>
          <w:lang w:val="es-ES"/>
        </w:rPr>
        <w:t>tenido jurídico.</w:t>
      </w:r>
      <w:r w:rsidR="009B3DEF">
        <w:rPr>
          <w:lang w:val="es-ES"/>
        </w:rPr>
        <w:t xml:space="preserve"> Podrán realizarse entrevistas personales/telefónicas para comprobar este mérito.</w:t>
      </w:r>
    </w:p>
    <w:p w:rsidR="005C092E" w:rsidRDefault="005C092E" w:rsidP="005C092E">
      <w:pPr>
        <w:jc w:val="both"/>
        <w:rPr>
          <w:lang w:val="es-ES"/>
        </w:rPr>
      </w:pPr>
    </w:p>
    <w:p w:rsidR="00040DD1" w:rsidRDefault="00040DD1" w:rsidP="005C092E">
      <w:pPr>
        <w:jc w:val="both"/>
        <w:rPr>
          <w:lang w:val="es-ES"/>
        </w:rPr>
      </w:pPr>
    </w:p>
    <w:p w:rsidR="00040DD1" w:rsidRDefault="00040DD1" w:rsidP="005C092E">
      <w:pPr>
        <w:jc w:val="both"/>
        <w:rPr>
          <w:lang w:val="es-ES"/>
        </w:rPr>
      </w:pPr>
    </w:p>
    <w:p w:rsidR="005C092E" w:rsidRDefault="005C092E" w:rsidP="005C092E">
      <w:pPr>
        <w:jc w:val="both"/>
        <w:rPr>
          <w:b/>
          <w:lang w:val="es-ES"/>
        </w:rPr>
      </w:pPr>
      <w:r>
        <w:rPr>
          <w:b/>
          <w:lang w:val="es-ES"/>
        </w:rPr>
        <w:t>MÉRITOS ADICIONALES:</w:t>
      </w:r>
    </w:p>
    <w:p w:rsidR="005C092E" w:rsidRDefault="005C092E" w:rsidP="005C092E">
      <w:pPr>
        <w:jc w:val="both"/>
        <w:rPr>
          <w:lang w:val="es-ES"/>
        </w:rPr>
      </w:pPr>
    </w:p>
    <w:p w:rsidR="009B3DEF" w:rsidRDefault="00630A47" w:rsidP="005C092E">
      <w:pPr>
        <w:jc w:val="both"/>
        <w:rPr>
          <w:lang w:val="es-ES"/>
        </w:rPr>
      </w:pPr>
      <w:r>
        <w:rPr>
          <w:lang w:val="es-ES"/>
        </w:rPr>
        <w:t>1</w:t>
      </w:r>
      <w:r w:rsidR="005C092E">
        <w:rPr>
          <w:lang w:val="es-ES"/>
        </w:rPr>
        <w:t xml:space="preserve">º </w:t>
      </w:r>
      <w:r w:rsidR="009B3DEF">
        <w:rPr>
          <w:lang w:val="es-ES"/>
        </w:rPr>
        <w:t>Experiencia previa en proyectos intern</w:t>
      </w:r>
      <w:r w:rsidR="00E3697E">
        <w:rPr>
          <w:lang w:val="es-ES"/>
        </w:rPr>
        <w:t xml:space="preserve">acionales </w:t>
      </w:r>
      <w:r w:rsidR="00E3697E" w:rsidRPr="007C6045">
        <w:rPr>
          <w:lang w:val="es-ES"/>
        </w:rPr>
        <w:t>del sector Justicia</w:t>
      </w:r>
      <w:r w:rsidR="007C6045" w:rsidRPr="007C6045">
        <w:rPr>
          <w:lang w:val="es-ES"/>
        </w:rPr>
        <w:t>.</w:t>
      </w:r>
    </w:p>
    <w:p w:rsidR="009B3DEF" w:rsidRDefault="009B3DEF" w:rsidP="005C092E">
      <w:pPr>
        <w:jc w:val="both"/>
        <w:rPr>
          <w:lang w:val="es-ES"/>
        </w:rPr>
      </w:pPr>
    </w:p>
    <w:p w:rsidR="005C092E" w:rsidRPr="007C6045" w:rsidRDefault="00630A47" w:rsidP="005C092E">
      <w:pPr>
        <w:jc w:val="both"/>
        <w:rPr>
          <w:lang w:val="es-ES"/>
        </w:rPr>
      </w:pPr>
      <w:r>
        <w:rPr>
          <w:lang w:val="es-ES"/>
        </w:rPr>
        <w:t>2</w:t>
      </w:r>
      <w:r w:rsidR="00E3697E">
        <w:rPr>
          <w:lang w:val="es-ES"/>
        </w:rPr>
        <w:t>º</w:t>
      </w:r>
      <w:r w:rsidR="009B3DEF">
        <w:rPr>
          <w:lang w:val="es-ES"/>
        </w:rPr>
        <w:t xml:space="preserve"> </w:t>
      </w:r>
      <w:r w:rsidR="005C092E">
        <w:rPr>
          <w:lang w:val="es-ES"/>
        </w:rPr>
        <w:t>Experiencia en el uso d</w:t>
      </w:r>
      <w:r w:rsidR="002F7383">
        <w:rPr>
          <w:lang w:val="es-ES"/>
        </w:rPr>
        <w:t>e m</w:t>
      </w:r>
      <w:r w:rsidR="00E3697E">
        <w:rPr>
          <w:lang w:val="es-ES"/>
        </w:rPr>
        <w:t xml:space="preserve">etodología de formación on-line </w:t>
      </w:r>
      <w:r w:rsidR="00E3697E" w:rsidRPr="007C6045">
        <w:rPr>
          <w:lang w:val="es-ES"/>
        </w:rPr>
        <w:t>aplicada a operadores de la Administración de Justicia.</w:t>
      </w:r>
    </w:p>
    <w:p w:rsidR="002F7383" w:rsidRDefault="002F7383" w:rsidP="005C092E">
      <w:pPr>
        <w:jc w:val="both"/>
        <w:rPr>
          <w:lang w:val="es-ES"/>
        </w:rPr>
      </w:pPr>
    </w:p>
    <w:p w:rsidR="002F7383" w:rsidRDefault="00630A47" w:rsidP="005C092E">
      <w:pPr>
        <w:jc w:val="both"/>
        <w:rPr>
          <w:lang w:val="es-ES"/>
        </w:rPr>
      </w:pPr>
      <w:r>
        <w:rPr>
          <w:lang w:val="es-ES"/>
        </w:rPr>
        <w:t>3</w:t>
      </w:r>
      <w:r w:rsidR="002F7383">
        <w:rPr>
          <w:lang w:val="es-ES"/>
        </w:rPr>
        <w:t>º Nivel alto de francés oral y escrito, con capacidad</w:t>
      </w:r>
      <w:r w:rsidR="002F7383" w:rsidRPr="002F7383">
        <w:rPr>
          <w:lang w:val="es-ES"/>
        </w:rPr>
        <w:t xml:space="preserve"> para mantener reunion</w:t>
      </w:r>
      <w:r w:rsidR="00E3697E">
        <w:rPr>
          <w:lang w:val="es-ES"/>
        </w:rPr>
        <w:t xml:space="preserve">es y </w:t>
      </w:r>
      <w:r w:rsidR="007C6045" w:rsidRPr="007C6045">
        <w:rPr>
          <w:lang w:val="es-ES"/>
        </w:rPr>
        <w:t>elaborar</w:t>
      </w:r>
      <w:r w:rsidR="002F7383" w:rsidRPr="007C6045">
        <w:rPr>
          <w:lang w:val="es-ES"/>
        </w:rPr>
        <w:t xml:space="preserve"> informes </w:t>
      </w:r>
      <w:r w:rsidR="002F7383" w:rsidRPr="002F7383">
        <w:rPr>
          <w:lang w:val="es-ES"/>
        </w:rPr>
        <w:t>de contenido jurídico.</w:t>
      </w:r>
    </w:p>
    <w:p w:rsidR="009B3DEF" w:rsidRDefault="009B3DEF" w:rsidP="005C092E">
      <w:pPr>
        <w:jc w:val="both"/>
        <w:rPr>
          <w:lang w:val="es-ES"/>
        </w:rPr>
      </w:pPr>
    </w:p>
    <w:p w:rsidR="002F7383" w:rsidRDefault="002F7383" w:rsidP="005C092E">
      <w:pPr>
        <w:jc w:val="both"/>
        <w:rPr>
          <w:lang w:val="es-ES"/>
        </w:rPr>
      </w:pPr>
    </w:p>
    <w:p w:rsidR="006C24C7" w:rsidRDefault="002F7383" w:rsidP="005C092E">
      <w:pPr>
        <w:jc w:val="both"/>
        <w:rPr>
          <w:b/>
          <w:lang w:val="es-ES"/>
        </w:rPr>
      </w:pPr>
      <w:r>
        <w:rPr>
          <w:b/>
          <w:lang w:val="es-ES"/>
        </w:rPr>
        <w:t>LU</w:t>
      </w:r>
      <w:r w:rsidR="00E3697E">
        <w:rPr>
          <w:b/>
          <w:lang w:val="es-ES"/>
        </w:rPr>
        <w:t xml:space="preserve">GAR DE REALIZACIÓN DE ACTIVIDAD: </w:t>
      </w:r>
    </w:p>
    <w:p w:rsidR="006C24C7" w:rsidRDefault="006C24C7" w:rsidP="005C092E">
      <w:pPr>
        <w:jc w:val="both"/>
        <w:rPr>
          <w:b/>
          <w:lang w:val="es-ES"/>
        </w:rPr>
      </w:pPr>
    </w:p>
    <w:p w:rsidR="002F7383" w:rsidRDefault="00E3697E" w:rsidP="005C092E">
      <w:pPr>
        <w:jc w:val="both"/>
        <w:rPr>
          <w:lang w:val="es-ES"/>
        </w:rPr>
      </w:pPr>
      <w:r w:rsidRPr="000B291C">
        <w:rPr>
          <w:b/>
          <w:lang w:val="es-ES"/>
        </w:rPr>
        <w:t>Egipto</w:t>
      </w:r>
      <w:r w:rsidR="006C24C7">
        <w:rPr>
          <w:lang w:val="es-ES"/>
        </w:rPr>
        <w:t>,</w:t>
      </w:r>
      <w:r>
        <w:rPr>
          <w:b/>
          <w:lang w:val="es-ES"/>
        </w:rPr>
        <w:t xml:space="preserve"> </w:t>
      </w:r>
      <w:r w:rsidR="00325411">
        <w:rPr>
          <w:lang w:val="es-ES"/>
        </w:rPr>
        <w:t xml:space="preserve">principalmente </w:t>
      </w:r>
      <w:r w:rsidRPr="00E3697E">
        <w:rPr>
          <w:lang w:val="es-ES"/>
        </w:rPr>
        <w:t>en el</w:t>
      </w:r>
      <w:r>
        <w:rPr>
          <w:lang w:val="es-ES"/>
        </w:rPr>
        <w:t xml:space="preserve"> </w:t>
      </w:r>
      <w:r w:rsidR="002F7383">
        <w:rPr>
          <w:lang w:val="es-ES"/>
        </w:rPr>
        <w:t>Centro Nacional d</w:t>
      </w:r>
      <w:r w:rsidR="00325411">
        <w:rPr>
          <w:lang w:val="es-ES"/>
        </w:rPr>
        <w:t xml:space="preserve">e Estudios Judiciales (El Cairo), </w:t>
      </w:r>
      <w:r w:rsidR="00F50CC2">
        <w:rPr>
          <w:lang w:val="es-ES"/>
        </w:rPr>
        <w:t>no obstante,</w:t>
      </w:r>
      <w:r w:rsidR="00325411">
        <w:rPr>
          <w:lang w:val="es-ES"/>
        </w:rPr>
        <w:t xml:space="preserve"> puede ser necesario realizar </w:t>
      </w:r>
      <w:r w:rsidR="002F7383">
        <w:rPr>
          <w:lang w:val="es-ES"/>
        </w:rPr>
        <w:t xml:space="preserve">desplazamientos ocasionales a </w:t>
      </w:r>
      <w:r w:rsidR="000B291C">
        <w:rPr>
          <w:lang w:val="es-ES"/>
        </w:rPr>
        <w:t>otras</w:t>
      </w:r>
      <w:r w:rsidR="002F7383">
        <w:rPr>
          <w:lang w:val="es-ES"/>
        </w:rPr>
        <w:t xml:space="preserve"> sedes del CNEJ en </w:t>
      </w:r>
      <w:r w:rsidR="006C24C7">
        <w:rPr>
          <w:lang w:val="es-ES"/>
        </w:rPr>
        <w:t xml:space="preserve">el </w:t>
      </w:r>
      <w:r w:rsidR="00325411">
        <w:rPr>
          <w:lang w:val="es-ES"/>
        </w:rPr>
        <w:t xml:space="preserve"> país.</w:t>
      </w:r>
    </w:p>
    <w:p w:rsidR="006C24C7" w:rsidRDefault="006C24C7" w:rsidP="005C092E">
      <w:pPr>
        <w:jc w:val="both"/>
        <w:rPr>
          <w:lang w:val="es-ES"/>
        </w:rPr>
      </w:pPr>
    </w:p>
    <w:p w:rsidR="00325411" w:rsidRDefault="00325411" w:rsidP="005C092E">
      <w:pPr>
        <w:jc w:val="both"/>
        <w:rPr>
          <w:lang w:val="es-ES"/>
        </w:rPr>
      </w:pPr>
      <w:r>
        <w:rPr>
          <w:lang w:val="es-ES"/>
        </w:rPr>
        <w:t xml:space="preserve">Si bien el líder del consorcio (JCI)  cuenta con una sede en El Cairo, con oficinas a disposición de los expertos, físicamente </w:t>
      </w:r>
      <w:r w:rsidR="006C24C7" w:rsidRPr="006C24C7">
        <w:rPr>
          <w:lang w:val="es-ES"/>
        </w:rPr>
        <w:t xml:space="preserve">estará ubicado </w:t>
      </w:r>
      <w:r>
        <w:rPr>
          <w:lang w:val="es-ES"/>
        </w:rPr>
        <w:t>en la Oficina Técnica de Cooperación de</w:t>
      </w:r>
      <w:r w:rsidR="000B291C">
        <w:rPr>
          <w:lang w:val="es-ES"/>
        </w:rPr>
        <w:t xml:space="preserve"> la AECID en</w:t>
      </w:r>
      <w:r>
        <w:rPr>
          <w:lang w:val="es-ES"/>
        </w:rPr>
        <w:t xml:space="preserve"> El Cairo.</w:t>
      </w:r>
    </w:p>
    <w:p w:rsidR="000B291C" w:rsidRDefault="000B291C" w:rsidP="005C092E">
      <w:pPr>
        <w:jc w:val="both"/>
        <w:rPr>
          <w:lang w:val="es-ES"/>
        </w:rPr>
      </w:pPr>
    </w:p>
    <w:p w:rsidR="000B291C" w:rsidRPr="000B291C" w:rsidRDefault="000B291C" w:rsidP="000B291C">
      <w:pPr>
        <w:jc w:val="both"/>
        <w:rPr>
          <w:b/>
          <w:lang w:val="es-ES"/>
        </w:rPr>
      </w:pPr>
      <w:r w:rsidRPr="000B291C">
        <w:rPr>
          <w:b/>
          <w:lang w:val="es-ES"/>
        </w:rPr>
        <w:t xml:space="preserve">DURACIÓN DE </w:t>
      </w:r>
      <w:r w:rsidR="006C24C7">
        <w:rPr>
          <w:b/>
          <w:lang w:val="es-ES"/>
        </w:rPr>
        <w:t>LA MISIÓN Y DES</w:t>
      </w:r>
      <w:r w:rsidRPr="000B291C">
        <w:rPr>
          <w:b/>
          <w:lang w:val="es-ES"/>
        </w:rPr>
        <w:t>EMPEÑO DEL PUESTO:</w:t>
      </w:r>
    </w:p>
    <w:p w:rsidR="000B291C" w:rsidRPr="000B291C" w:rsidRDefault="000B291C" w:rsidP="000B291C">
      <w:pPr>
        <w:jc w:val="both"/>
        <w:rPr>
          <w:b/>
          <w:lang w:val="es-ES"/>
        </w:rPr>
      </w:pPr>
    </w:p>
    <w:p w:rsidR="000B291C" w:rsidRDefault="00F50CC2" w:rsidP="000B291C">
      <w:pPr>
        <w:jc w:val="both"/>
        <w:rPr>
          <w:lang w:val="es-ES"/>
        </w:rPr>
      </w:pPr>
      <w:r>
        <w:rPr>
          <w:lang w:val="es-ES"/>
        </w:rPr>
        <w:t>A pesar de que</w:t>
      </w:r>
      <w:r w:rsidR="000B291C" w:rsidRPr="000B291C">
        <w:rPr>
          <w:lang w:val="es-ES"/>
        </w:rPr>
        <w:t xml:space="preserve"> la actividad de control y supervisión del componente es </w:t>
      </w:r>
      <w:r w:rsidR="000B291C" w:rsidRPr="000B291C">
        <w:rPr>
          <w:b/>
          <w:lang w:val="es-ES"/>
        </w:rPr>
        <w:t>continua</w:t>
      </w:r>
      <w:r w:rsidR="000B291C" w:rsidRPr="000B291C">
        <w:rPr>
          <w:lang w:val="es-ES"/>
        </w:rPr>
        <w:t xml:space="preserve">, y se extiende durante los 48 meses de duración del proyecto, el tiempo requerido de residencia </w:t>
      </w:r>
      <w:r w:rsidR="000B291C">
        <w:rPr>
          <w:lang w:val="es-ES"/>
        </w:rPr>
        <w:t xml:space="preserve">permanente </w:t>
      </w:r>
      <w:r w:rsidR="000B291C" w:rsidRPr="000B291C">
        <w:rPr>
          <w:lang w:val="es-ES"/>
        </w:rPr>
        <w:t xml:space="preserve">en Egipto tendrá una duración inicial de </w:t>
      </w:r>
      <w:r w:rsidR="000B291C" w:rsidRPr="000B291C">
        <w:rPr>
          <w:b/>
          <w:lang w:val="es-ES"/>
        </w:rPr>
        <w:t>dos años</w:t>
      </w:r>
      <w:r w:rsidR="000B291C" w:rsidRPr="000B291C">
        <w:rPr>
          <w:lang w:val="es-ES"/>
        </w:rPr>
        <w:t>, prorrogables por períodos anuales hasta la finalización del proyecto.</w:t>
      </w:r>
    </w:p>
    <w:p w:rsidR="000B291C" w:rsidRDefault="000B291C" w:rsidP="000B291C">
      <w:pPr>
        <w:jc w:val="both"/>
        <w:rPr>
          <w:lang w:val="es-ES"/>
        </w:rPr>
      </w:pPr>
    </w:p>
    <w:p w:rsidR="000B291C" w:rsidRDefault="000B291C" w:rsidP="000B291C">
      <w:pPr>
        <w:jc w:val="both"/>
        <w:rPr>
          <w:b/>
          <w:lang w:val="es-ES"/>
        </w:rPr>
      </w:pPr>
      <w:r w:rsidRPr="000B291C">
        <w:rPr>
          <w:b/>
          <w:lang w:val="es-ES"/>
        </w:rPr>
        <w:t>SITUACIÓN ADMINISTRATIVA DEL EXPERTO SELECCIONADO:</w:t>
      </w:r>
    </w:p>
    <w:p w:rsidR="000B291C" w:rsidRDefault="000B291C" w:rsidP="000B291C">
      <w:pPr>
        <w:jc w:val="both"/>
        <w:rPr>
          <w:b/>
          <w:lang w:val="es-ES"/>
        </w:rPr>
      </w:pPr>
    </w:p>
    <w:p w:rsidR="00A160F5" w:rsidRPr="00A160F5" w:rsidRDefault="00A160F5" w:rsidP="000B291C">
      <w:pPr>
        <w:jc w:val="both"/>
        <w:rPr>
          <w:lang w:val="es-ES"/>
        </w:rPr>
      </w:pPr>
      <w:r>
        <w:rPr>
          <w:lang w:val="es-ES"/>
        </w:rPr>
        <w:t xml:space="preserve">El experto seleccionado deberá </w:t>
      </w:r>
      <w:r w:rsidR="00BB3D28">
        <w:rPr>
          <w:lang w:val="es-ES"/>
        </w:rPr>
        <w:t>obtener</w:t>
      </w:r>
      <w:r>
        <w:rPr>
          <w:lang w:val="es-ES"/>
        </w:rPr>
        <w:t xml:space="preserve"> autorización </w:t>
      </w:r>
      <w:r w:rsidR="00BB3D28">
        <w:rPr>
          <w:lang w:val="es-ES"/>
        </w:rPr>
        <w:t>de</w:t>
      </w:r>
      <w:r w:rsidR="005067A9">
        <w:rPr>
          <w:lang w:val="es-ES"/>
        </w:rPr>
        <w:t xml:space="preserve"> su institución</w:t>
      </w:r>
      <w:r w:rsidR="000172B5">
        <w:rPr>
          <w:lang w:val="es-ES"/>
        </w:rPr>
        <w:t xml:space="preserve"> </w:t>
      </w:r>
      <w:r>
        <w:rPr>
          <w:lang w:val="es-ES"/>
        </w:rPr>
        <w:t xml:space="preserve">para pasar a la situación de </w:t>
      </w:r>
      <w:r w:rsidRPr="00A160F5">
        <w:rPr>
          <w:b/>
          <w:lang w:val="es-ES"/>
        </w:rPr>
        <w:t>servicios especiales</w:t>
      </w:r>
      <w:r>
        <w:rPr>
          <w:lang w:val="es-ES"/>
        </w:rPr>
        <w:t xml:space="preserve"> para el desempeño de una misión internacional, por tiempo superior a seis meses, en el marco de un programa de coopera</w:t>
      </w:r>
      <w:r w:rsidR="005067A9">
        <w:rPr>
          <w:lang w:val="es-ES"/>
        </w:rPr>
        <w:t>ción internacional.</w:t>
      </w:r>
    </w:p>
    <w:p w:rsidR="002F7383" w:rsidRDefault="002F7383" w:rsidP="005C092E">
      <w:pPr>
        <w:jc w:val="both"/>
        <w:rPr>
          <w:lang w:val="es-ES"/>
        </w:rPr>
      </w:pPr>
    </w:p>
    <w:p w:rsidR="006C24C7" w:rsidRDefault="006C24C7" w:rsidP="005C092E">
      <w:pPr>
        <w:jc w:val="both"/>
        <w:rPr>
          <w:lang w:val="es-ES"/>
        </w:rPr>
      </w:pPr>
    </w:p>
    <w:p w:rsidR="00E45980" w:rsidRDefault="00791213" w:rsidP="005C092E">
      <w:pPr>
        <w:jc w:val="both"/>
        <w:rPr>
          <w:b/>
          <w:lang w:val="es-ES"/>
        </w:rPr>
      </w:pPr>
      <w:r>
        <w:rPr>
          <w:b/>
          <w:lang w:val="es-ES"/>
        </w:rPr>
        <w:t>RETRIBUCIONES</w:t>
      </w:r>
      <w:r w:rsidR="00E45980" w:rsidRPr="00E45980">
        <w:rPr>
          <w:b/>
          <w:lang w:val="es-ES"/>
        </w:rPr>
        <w:t>:</w:t>
      </w:r>
      <w:r w:rsidR="002E10E9">
        <w:rPr>
          <w:b/>
          <w:lang w:val="es-ES"/>
        </w:rPr>
        <w:t xml:space="preserve"> </w:t>
      </w:r>
    </w:p>
    <w:p w:rsidR="002E10E9" w:rsidRDefault="002E10E9" w:rsidP="005C092E">
      <w:pPr>
        <w:jc w:val="both"/>
        <w:rPr>
          <w:b/>
          <w:lang w:val="es-ES"/>
        </w:rPr>
      </w:pPr>
    </w:p>
    <w:p w:rsidR="004A59DB" w:rsidRDefault="004A59DB" w:rsidP="005C092E">
      <w:pPr>
        <w:jc w:val="both"/>
        <w:rPr>
          <w:b/>
          <w:lang w:val="es-ES"/>
        </w:rPr>
      </w:pPr>
      <w:r>
        <w:rPr>
          <w:lang w:val="es-ES"/>
        </w:rPr>
        <w:t xml:space="preserve">La retribución bruta mensual será de </w:t>
      </w:r>
      <w:r w:rsidRPr="004A59DB">
        <w:rPr>
          <w:b/>
          <w:lang w:val="es-ES"/>
        </w:rPr>
        <w:t>8.500 euros</w:t>
      </w:r>
      <w:r>
        <w:rPr>
          <w:b/>
          <w:lang w:val="es-ES"/>
        </w:rPr>
        <w:t xml:space="preserve">. </w:t>
      </w:r>
    </w:p>
    <w:p w:rsidR="004A59DB" w:rsidRDefault="004A59DB" w:rsidP="005C092E">
      <w:pPr>
        <w:jc w:val="both"/>
        <w:rPr>
          <w:b/>
          <w:lang w:val="es-ES"/>
        </w:rPr>
      </w:pPr>
    </w:p>
    <w:p w:rsidR="001C0534" w:rsidRPr="001C0534" w:rsidRDefault="001C0534" w:rsidP="001C0534">
      <w:pPr>
        <w:jc w:val="both"/>
        <w:rPr>
          <w:lang w:val="es-ES"/>
        </w:rPr>
      </w:pPr>
      <w:r>
        <w:rPr>
          <w:lang w:val="es-ES"/>
        </w:rPr>
        <w:t>Habrá de tributar como contribuyente</w:t>
      </w:r>
      <w:r w:rsidR="004A59DB" w:rsidRPr="004A59DB">
        <w:rPr>
          <w:lang w:val="es-ES"/>
        </w:rPr>
        <w:t xml:space="preserve"> por el Impuesto sobre la Renta de las Personas Físicas</w:t>
      </w:r>
      <w:r>
        <w:rPr>
          <w:lang w:val="es-ES"/>
        </w:rPr>
        <w:t xml:space="preserve">, debiendo optar por la exención prevista en el art. 7.p) de la Ley del IRPF (primeros </w:t>
      </w:r>
      <w:r w:rsidRPr="001C0534">
        <w:rPr>
          <w:lang w:val="es-ES"/>
        </w:rPr>
        <w:t>60.100 euros anuales</w:t>
      </w:r>
      <w:r>
        <w:rPr>
          <w:lang w:val="es-ES"/>
        </w:rPr>
        <w:t xml:space="preserve"> exentos) o por la aplicación del régimen de </w:t>
      </w:r>
      <w:r w:rsidRPr="001C0534">
        <w:rPr>
          <w:lang w:val="es-ES"/>
        </w:rPr>
        <w:t>e</w:t>
      </w:r>
      <w:r>
        <w:rPr>
          <w:lang w:val="es-ES"/>
        </w:rPr>
        <w:t>xcesos excluidos de tributación (art. 9ª 3b del Reglamento del IRPF).</w:t>
      </w:r>
    </w:p>
    <w:p w:rsidR="004A59DB" w:rsidRDefault="004A59DB" w:rsidP="005C092E">
      <w:pPr>
        <w:jc w:val="both"/>
        <w:rPr>
          <w:lang w:val="es-ES"/>
        </w:rPr>
      </w:pPr>
    </w:p>
    <w:p w:rsidR="004A59DB" w:rsidRDefault="00C24191" w:rsidP="005C092E">
      <w:pPr>
        <w:jc w:val="both"/>
        <w:rPr>
          <w:lang w:val="es-ES"/>
        </w:rPr>
      </w:pPr>
      <w:r w:rsidRPr="00C24191">
        <w:rPr>
          <w:lang w:val="es-ES"/>
        </w:rPr>
        <w:lastRenderedPageBreak/>
        <w:t xml:space="preserve">Además estarán cubiertos los gastos de desplazamiento y alojamiento </w:t>
      </w:r>
      <w:r>
        <w:rPr>
          <w:lang w:val="es-ES"/>
        </w:rPr>
        <w:t xml:space="preserve">fuera de El Cairo que sean necesarios para el proyecto, y sean autorizados </w:t>
      </w:r>
      <w:r w:rsidR="006C24C7">
        <w:rPr>
          <w:lang w:val="es-ES"/>
        </w:rPr>
        <w:t xml:space="preserve">por la AECID </w:t>
      </w:r>
      <w:r w:rsidRPr="00C24191">
        <w:rPr>
          <w:lang w:val="es-ES"/>
        </w:rPr>
        <w:t xml:space="preserve">en los términos del </w:t>
      </w:r>
      <w:hyperlink r:id="rId10" w:history="1">
        <w:r w:rsidRPr="00C24191">
          <w:rPr>
            <w:rStyle w:val="Hipervnculo"/>
            <w:lang w:val="es-ES"/>
          </w:rPr>
          <w:t>RD 462/2002</w:t>
        </w:r>
      </w:hyperlink>
      <w:r w:rsidRPr="00C24191">
        <w:rPr>
          <w:lang w:val="es-ES"/>
        </w:rPr>
        <w:t>, sobre indemnizaciones por razón del servicio.</w:t>
      </w:r>
    </w:p>
    <w:p w:rsidR="006C24C7" w:rsidRDefault="006C24C7" w:rsidP="005C092E">
      <w:pPr>
        <w:jc w:val="both"/>
        <w:rPr>
          <w:lang w:val="es-ES"/>
        </w:rPr>
      </w:pPr>
    </w:p>
    <w:p w:rsidR="006C24C7" w:rsidRDefault="006C24C7" w:rsidP="005C092E">
      <w:pPr>
        <w:jc w:val="both"/>
        <w:rPr>
          <w:lang w:val="es-ES"/>
        </w:rPr>
      </w:pPr>
    </w:p>
    <w:p w:rsidR="00E94B0F" w:rsidRDefault="00E94B0F" w:rsidP="005C092E">
      <w:pPr>
        <w:jc w:val="both"/>
        <w:rPr>
          <w:lang w:val="es-ES"/>
        </w:rPr>
      </w:pPr>
    </w:p>
    <w:p w:rsidR="00E94B0F" w:rsidRDefault="00E94B0F" w:rsidP="005C092E">
      <w:pPr>
        <w:jc w:val="both"/>
        <w:rPr>
          <w:b/>
          <w:lang w:val="es-ES"/>
        </w:rPr>
      </w:pPr>
      <w:r w:rsidRPr="00E94B0F">
        <w:rPr>
          <w:b/>
          <w:lang w:val="es-ES"/>
        </w:rPr>
        <w:t>COBERTURA SANITARIA</w:t>
      </w:r>
    </w:p>
    <w:p w:rsidR="00E94B0F" w:rsidRDefault="00E94B0F" w:rsidP="005C092E">
      <w:pPr>
        <w:jc w:val="both"/>
        <w:rPr>
          <w:b/>
          <w:lang w:val="es-ES"/>
        </w:rPr>
      </w:pPr>
    </w:p>
    <w:p w:rsidR="00E94B0F" w:rsidRDefault="00E94B0F" w:rsidP="005C092E">
      <w:pPr>
        <w:jc w:val="both"/>
        <w:rPr>
          <w:lang w:val="es-ES"/>
        </w:rPr>
      </w:pPr>
      <w:r>
        <w:rPr>
          <w:lang w:val="es-ES"/>
        </w:rPr>
        <w:t xml:space="preserve">Con independencia de la cobertura que le corresponda como funcionario en situación de servicios especiales, el experto seleccionado deberá suscribir a su cargo un seguro privado </w:t>
      </w:r>
      <w:r w:rsidR="006C24C7">
        <w:rPr>
          <w:lang w:val="es-ES"/>
        </w:rPr>
        <w:t>que garantice su asistencia ante cualquier tipo de contingencia sanitaria</w:t>
      </w:r>
      <w:r w:rsidR="00B83F5C">
        <w:rPr>
          <w:lang w:val="es-ES"/>
        </w:rPr>
        <w:t>, accidente</w:t>
      </w:r>
      <w:r>
        <w:rPr>
          <w:lang w:val="es-ES"/>
        </w:rPr>
        <w:t xml:space="preserve">, etc. </w:t>
      </w:r>
    </w:p>
    <w:p w:rsidR="00E45980" w:rsidRDefault="00E45980" w:rsidP="005C092E">
      <w:pPr>
        <w:jc w:val="both"/>
        <w:rPr>
          <w:lang w:val="es-ES"/>
        </w:rPr>
      </w:pPr>
    </w:p>
    <w:p w:rsidR="00C24191" w:rsidRDefault="00C24191" w:rsidP="005C092E">
      <w:pPr>
        <w:jc w:val="both"/>
        <w:rPr>
          <w:lang w:val="es-ES"/>
        </w:rPr>
      </w:pPr>
    </w:p>
    <w:p w:rsidR="00E45980" w:rsidRPr="007C6045" w:rsidRDefault="00E45980" w:rsidP="005C092E">
      <w:pPr>
        <w:jc w:val="both"/>
        <w:rPr>
          <w:b/>
          <w:lang w:val="es-ES"/>
        </w:rPr>
      </w:pPr>
      <w:r w:rsidRPr="007C6045">
        <w:rPr>
          <w:b/>
          <w:lang w:val="es-ES"/>
        </w:rPr>
        <w:t>DESCRIPCION GENERAL DEL PROYECTO:</w:t>
      </w:r>
    </w:p>
    <w:p w:rsidR="002E10E9" w:rsidRDefault="002E10E9" w:rsidP="005C092E">
      <w:pPr>
        <w:jc w:val="both"/>
        <w:rPr>
          <w:b/>
          <w:lang w:val="es-ES"/>
        </w:rPr>
      </w:pPr>
    </w:p>
    <w:p w:rsidR="00C24191" w:rsidRPr="00C24191" w:rsidRDefault="00C24191" w:rsidP="00C24191">
      <w:pPr>
        <w:rPr>
          <w:rFonts w:ascii="Arial" w:eastAsiaTheme="minorHAnsi" w:hAnsi="Arial" w:cs="Arial"/>
          <w:sz w:val="22"/>
          <w:szCs w:val="22"/>
          <w:u w:val="single"/>
          <w:lang w:val="es-ES" w:eastAsia="en-US"/>
        </w:rPr>
      </w:pPr>
      <w:r w:rsidRPr="00C24191">
        <w:rPr>
          <w:rFonts w:ascii="Arial" w:eastAsiaTheme="minorHAnsi" w:hAnsi="Arial" w:cs="Arial"/>
          <w:sz w:val="22"/>
          <w:szCs w:val="22"/>
          <w:u w:val="single"/>
          <w:lang w:val="es-ES" w:eastAsia="en-US"/>
        </w:rPr>
        <w:t>Instituciones intervinientes</w:t>
      </w:r>
    </w:p>
    <w:p w:rsidR="00C24191" w:rsidRPr="00C24191" w:rsidRDefault="00C24191" w:rsidP="00C24191">
      <w:pPr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:rsidR="00C24191" w:rsidRPr="00C24191" w:rsidRDefault="00C24191" w:rsidP="00C24191">
      <w:pPr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>Francia</w:t>
      </w:r>
      <w:r w:rsidRPr="00C24191">
        <w:rPr>
          <w:rFonts w:ascii="Arial" w:eastAsiaTheme="minorHAnsi" w:hAnsi="Arial" w:cs="Arial"/>
          <w:sz w:val="22"/>
          <w:szCs w:val="22"/>
          <w:lang w:val="es-ES" w:eastAsia="en-US"/>
        </w:rPr>
        <w:t xml:space="preserve">, a través de  </w:t>
      </w:r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 xml:space="preserve">GIP </w:t>
      </w:r>
      <w:proofErr w:type="spellStart"/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>Justice</w:t>
      </w:r>
      <w:proofErr w:type="spellEnd"/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 xml:space="preserve"> </w:t>
      </w:r>
      <w:proofErr w:type="spellStart"/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>Cooperation</w:t>
      </w:r>
      <w:proofErr w:type="spellEnd"/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 xml:space="preserve"> </w:t>
      </w:r>
      <w:proofErr w:type="spellStart"/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>Internacionale</w:t>
      </w:r>
      <w:proofErr w:type="spellEnd"/>
      <w:r w:rsidRPr="00C24191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 que es la encargada de liderar el proyecto.</w:t>
      </w:r>
    </w:p>
    <w:p w:rsidR="00C24191" w:rsidRPr="00C24191" w:rsidRDefault="00C24191" w:rsidP="00C24191">
      <w:pPr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>España</w:t>
      </w:r>
      <w:r w:rsidRPr="00C24191">
        <w:rPr>
          <w:rFonts w:ascii="Arial" w:eastAsiaTheme="minorHAnsi" w:hAnsi="Arial" w:cs="Arial"/>
          <w:sz w:val="22"/>
          <w:szCs w:val="22"/>
          <w:lang w:val="es-ES" w:eastAsia="en-US"/>
        </w:rPr>
        <w:t xml:space="preserve">, a través de </w:t>
      </w:r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>AECID.</w:t>
      </w:r>
    </w:p>
    <w:p w:rsidR="00C24191" w:rsidRPr="00C24191" w:rsidRDefault="00C24191" w:rsidP="00C24191">
      <w:pPr>
        <w:jc w:val="both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>Italia</w:t>
      </w:r>
      <w:r w:rsidRPr="00C24191">
        <w:rPr>
          <w:rFonts w:ascii="Arial" w:eastAsiaTheme="minorHAnsi" w:hAnsi="Arial" w:cs="Arial"/>
          <w:sz w:val="22"/>
          <w:szCs w:val="22"/>
          <w:lang w:val="es-ES" w:eastAsia="en-US"/>
        </w:rPr>
        <w:t xml:space="preserve">, a través del </w:t>
      </w:r>
      <w:proofErr w:type="spellStart"/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>Consigl</w:t>
      </w:r>
      <w:r>
        <w:rPr>
          <w:rFonts w:ascii="Arial" w:eastAsiaTheme="minorHAnsi" w:hAnsi="Arial" w:cs="Arial"/>
          <w:b/>
          <w:sz w:val="22"/>
          <w:szCs w:val="22"/>
          <w:lang w:val="es-ES" w:eastAsia="en-US"/>
        </w:rPr>
        <w:t>io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es-ES" w:eastAsia="en-US"/>
        </w:rPr>
        <w:t>Superiore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val="es-ES" w:eastAsia="en-US"/>
        </w:rPr>
        <w:t>della</w:t>
      </w:r>
      <w:proofErr w:type="spellEnd"/>
      <w:r>
        <w:rPr>
          <w:rFonts w:ascii="Arial" w:eastAsiaTheme="minorHAnsi" w:hAnsi="Arial" w:cs="Arial"/>
          <w:b/>
          <w:sz w:val="22"/>
          <w:szCs w:val="22"/>
          <w:lang w:val="es-ES" w:eastAsia="en-US"/>
        </w:rPr>
        <w:t xml:space="preserve"> Magistratura (CSM).</w:t>
      </w:r>
    </w:p>
    <w:p w:rsidR="00C24191" w:rsidRDefault="00C24191" w:rsidP="00C24191">
      <w:pPr>
        <w:jc w:val="both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>Reino Unido</w:t>
      </w:r>
      <w:r w:rsidRPr="00C24191">
        <w:rPr>
          <w:rFonts w:ascii="Arial" w:eastAsiaTheme="minorHAnsi" w:hAnsi="Arial" w:cs="Arial"/>
          <w:sz w:val="22"/>
          <w:szCs w:val="22"/>
          <w:lang w:val="es-ES" w:eastAsia="en-US"/>
        </w:rPr>
        <w:t xml:space="preserve">, a través del </w:t>
      </w:r>
      <w:proofErr w:type="spellStart"/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>Northern</w:t>
      </w:r>
      <w:proofErr w:type="spellEnd"/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 xml:space="preserve"> </w:t>
      </w:r>
      <w:proofErr w:type="spellStart"/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>Ireland</w:t>
      </w:r>
      <w:proofErr w:type="spellEnd"/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 xml:space="preserve"> Co-</w:t>
      </w:r>
      <w:proofErr w:type="spellStart"/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>Operation</w:t>
      </w:r>
      <w:proofErr w:type="spellEnd"/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 xml:space="preserve"> </w:t>
      </w:r>
      <w:proofErr w:type="spellStart"/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>Overseas</w:t>
      </w:r>
      <w:proofErr w:type="spellEnd"/>
      <w:r w:rsidRPr="00C24191">
        <w:rPr>
          <w:rFonts w:ascii="Arial" w:eastAsiaTheme="minorHAnsi" w:hAnsi="Arial" w:cs="Arial"/>
          <w:b/>
          <w:sz w:val="22"/>
          <w:szCs w:val="22"/>
          <w:lang w:val="es-ES" w:eastAsia="en-US"/>
        </w:rPr>
        <w:t xml:space="preserve"> (NI-CO)</w:t>
      </w:r>
    </w:p>
    <w:p w:rsidR="00C24191" w:rsidRDefault="00C24191" w:rsidP="00C24191">
      <w:pPr>
        <w:jc w:val="both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:rsidR="00C24191" w:rsidRPr="00C24191" w:rsidRDefault="00C24191" w:rsidP="00C24191">
      <w:pPr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:rsidR="002E10E9" w:rsidRPr="002E10E9" w:rsidRDefault="002E10E9" w:rsidP="002E10E9">
      <w:pPr>
        <w:ind w:firstLine="708"/>
        <w:jc w:val="both"/>
        <w:rPr>
          <w:lang w:val="es-ES"/>
        </w:rPr>
      </w:pPr>
      <w:r w:rsidRPr="002E10E9">
        <w:rPr>
          <w:u w:val="single"/>
          <w:lang w:val="es-ES"/>
        </w:rPr>
        <w:t>1º Objetivo General</w:t>
      </w:r>
      <w:r w:rsidRPr="002E10E9">
        <w:rPr>
          <w:lang w:val="es-ES"/>
        </w:rPr>
        <w:t>: el apoyo a la modernización de la Administración de Justicia en Egipto.</w:t>
      </w:r>
    </w:p>
    <w:p w:rsidR="002E10E9" w:rsidRPr="002E10E9" w:rsidRDefault="002E10E9" w:rsidP="002E10E9">
      <w:pPr>
        <w:jc w:val="both"/>
        <w:rPr>
          <w:lang w:val="es-ES"/>
        </w:rPr>
      </w:pPr>
    </w:p>
    <w:p w:rsidR="002E10E9" w:rsidRPr="002E10E9" w:rsidRDefault="002E10E9" w:rsidP="002E10E9">
      <w:pPr>
        <w:jc w:val="both"/>
        <w:rPr>
          <w:lang w:val="es-ES"/>
        </w:rPr>
      </w:pPr>
      <w:r w:rsidRPr="002E10E9">
        <w:rPr>
          <w:lang w:val="es-ES"/>
        </w:rPr>
        <w:tab/>
      </w:r>
      <w:r w:rsidRPr="002E10E9">
        <w:rPr>
          <w:u w:val="single"/>
          <w:lang w:val="es-ES"/>
        </w:rPr>
        <w:t>2º Objetivos específicos</w:t>
      </w:r>
      <w:r w:rsidRPr="002E10E9">
        <w:rPr>
          <w:lang w:val="es-ES"/>
        </w:rPr>
        <w:t>:</w:t>
      </w:r>
    </w:p>
    <w:p w:rsidR="002E10E9" w:rsidRPr="002E10E9" w:rsidRDefault="002E10E9" w:rsidP="002E10E9">
      <w:pPr>
        <w:jc w:val="both"/>
        <w:rPr>
          <w:lang w:val="es-ES"/>
        </w:rPr>
      </w:pPr>
    </w:p>
    <w:p w:rsidR="002E10E9" w:rsidRPr="002E10E9" w:rsidRDefault="002E10E9" w:rsidP="002E10E9">
      <w:pPr>
        <w:jc w:val="both"/>
        <w:rPr>
          <w:lang w:val="es-ES"/>
        </w:rPr>
      </w:pPr>
      <w:r w:rsidRPr="002E10E9">
        <w:rPr>
          <w:lang w:val="es-ES"/>
        </w:rPr>
        <w:t>a)</w:t>
      </w:r>
      <w:r w:rsidRPr="002E10E9">
        <w:rPr>
          <w:lang w:val="es-ES"/>
        </w:rPr>
        <w:tab/>
        <w:t>Mejora de las capacidades del Ministerio Justicia y de los profesionales de tribunales para aumentar la calidad del servicio y reducir los retrasos en la administración de Justicia:</w:t>
      </w:r>
    </w:p>
    <w:p w:rsidR="002E10E9" w:rsidRPr="002E10E9" w:rsidRDefault="002E10E9" w:rsidP="002E10E9">
      <w:pPr>
        <w:jc w:val="both"/>
        <w:rPr>
          <w:lang w:val="es-ES"/>
        </w:rPr>
      </w:pPr>
      <w:r w:rsidRPr="002E10E9">
        <w:rPr>
          <w:lang w:val="es-ES"/>
        </w:rPr>
        <w:t>1.- Modernización del servicio público ofrecido a los ciudadanos</w:t>
      </w:r>
    </w:p>
    <w:p w:rsidR="002E10E9" w:rsidRPr="002E10E9" w:rsidRDefault="002E10E9" w:rsidP="002E10E9">
      <w:pPr>
        <w:jc w:val="both"/>
        <w:rPr>
          <w:lang w:val="es-ES"/>
        </w:rPr>
      </w:pPr>
      <w:r w:rsidRPr="002E10E9">
        <w:rPr>
          <w:lang w:val="es-ES"/>
        </w:rPr>
        <w:t>2.-Incremento de la capacidad de gestión de casos, disminución del tiempo de los procedimientos y reducción de la pendencia de los tribunales.</w:t>
      </w:r>
    </w:p>
    <w:p w:rsidR="002E10E9" w:rsidRPr="002E10E9" w:rsidRDefault="002E10E9" w:rsidP="002E10E9">
      <w:pPr>
        <w:jc w:val="both"/>
        <w:rPr>
          <w:lang w:val="es-ES"/>
        </w:rPr>
      </w:pPr>
      <w:r w:rsidRPr="002E10E9">
        <w:rPr>
          <w:lang w:val="es-ES"/>
        </w:rPr>
        <w:t>3.-Mejora de las capacidades del Ministerio de Justicia.</w:t>
      </w:r>
    </w:p>
    <w:p w:rsidR="002E10E9" w:rsidRPr="002E10E9" w:rsidRDefault="002E10E9" w:rsidP="002E10E9">
      <w:pPr>
        <w:jc w:val="both"/>
        <w:rPr>
          <w:lang w:val="es-ES"/>
        </w:rPr>
      </w:pPr>
      <w:r w:rsidRPr="002E10E9">
        <w:rPr>
          <w:lang w:val="es-ES"/>
        </w:rPr>
        <w:t>4.- Despliegue de una base de datos judicial a nivel nacional que ofrezca un servicio de calidad a toda la ciudadanía.</w:t>
      </w:r>
    </w:p>
    <w:p w:rsidR="002E10E9" w:rsidRPr="002E10E9" w:rsidRDefault="002E10E9" w:rsidP="002E10E9">
      <w:pPr>
        <w:jc w:val="both"/>
        <w:rPr>
          <w:lang w:val="es-ES"/>
        </w:rPr>
      </w:pPr>
      <w:r w:rsidRPr="002E10E9">
        <w:rPr>
          <w:lang w:val="es-ES"/>
        </w:rPr>
        <w:t>5.-Se ofrecerá una Justicia más profesional y plazos más breves gracias a un mejor conocimiento de la ley y de técnicas modernas por los tribunales.</w:t>
      </w:r>
    </w:p>
    <w:p w:rsidR="002E10E9" w:rsidRPr="002E10E9" w:rsidRDefault="002E10E9" w:rsidP="002E10E9">
      <w:pPr>
        <w:jc w:val="both"/>
        <w:rPr>
          <w:lang w:val="es-ES"/>
        </w:rPr>
      </w:pPr>
      <w:r w:rsidRPr="002E10E9">
        <w:rPr>
          <w:lang w:val="es-ES"/>
        </w:rPr>
        <w:t xml:space="preserve">6.-Mejora de las capacidades del </w:t>
      </w:r>
      <w:r w:rsidR="00BD202F">
        <w:rPr>
          <w:lang w:val="es-ES"/>
        </w:rPr>
        <w:t>Centro Nacional de Estudios J</w:t>
      </w:r>
      <w:r w:rsidRPr="002E10E9">
        <w:rPr>
          <w:lang w:val="es-ES"/>
        </w:rPr>
        <w:t>udiciales que contribuirá a su vez a una mejora de las capacidades de los profesionales de los tribunales.</w:t>
      </w:r>
    </w:p>
    <w:p w:rsidR="002E10E9" w:rsidRPr="002E10E9" w:rsidRDefault="002E10E9" w:rsidP="002E10E9">
      <w:pPr>
        <w:jc w:val="both"/>
        <w:rPr>
          <w:lang w:val="es-ES"/>
        </w:rPr>
      </w:pPr>
      <w:r w:rsidRPr="002E10E9">
        <w:rPr>
          <w:lang w:val="es-ES"/>
        </w:rPr>
        <w:t>7.-Modernización del sistema judicial: apoyo a la corte de casación, mejorando la eficiencia de la gestión procesal, contribuyendo de forma eficaz a posteriores reformas judiciales.</w:t>
      </w:r>
    </w:p>
    <w:p w:rsidR="002E10E9" w:rsidRDefault="002E10E9" w:rsidP="002E10E9">
      <w:pPr>
        <w:jc w:val="both"/>
        <w:rPr>
          <w:lang w:val="es-ES"/>
        </w:rPr>
      </w:pPr>
    </w:p>
    <w:p w:rsidR="002E10E9" w:rsidRPr="002E10E9" w:rsidRDefault="002E10E9" w:rsidP="002E10E9">
      <w:pPr>
        <w:jc w:val="both"/>
        <w:rPr>
          <w:lang w:val="es-ES"/>
        </w:rPr>
      </w:pPr>
      <w:r w:rsidRPr="002E10E9">
        <w:rPr>
          <w:lang w:val="es-ES"/>
        </w:rPr>
        <w:t>b)</w:t>
      </w:r>
      <w:r w:rsidRPr="002E10E9">
        <w:rPr>
          <w:lang w:val="es-ES"/>
        </w:rPr>
        <w:tab/>
        <w:t>Mejora del sistema de Justicia juvenil:</w:t>
      </w:r>
    </w:p>
    <w:p w:rsidR="002E10E9" w:rsidRPr="002E10E9" w:rsidRDefault="002E10E9" w:rsidP="002E10E9">
      <w:pPr>
        <w:jc w:val="both"/>
        <w:rPr>
          <w:lang w:val="es-ES"/>
        </w:rPr>
      </w:pPr>
      <w:r w:rsidRPr="002E10E9">
        <w:rPr>
          <w:lang w:val="es-ES"/>
        </w:rPr>
        <w:lastRenderedPageBreak/>
        <w:t>1.-Desarrollo de la legislación de menores del año 2008 para proporcional un tratamiento específico de estos de acuerdo a los estándares internacionales.</w:t>
      </w:r>
    </w:p>
    <w:p w:rsidR="002E10E9" w:rsidRDefault="002E10E9" w:rsidP="002E10E9">
      <w:pPr>
        <w:jc w:val="both"/>
        <w:rPr>
          <w:lang w:val="es-ES"/>
        </w:rPr>
      </w:pPr>
      <w:r w:rsidRPr="002E10E9">
        <w:rPr>
          <w:lang w:val="es-ES"/>
        </w:rPr>
        <w:t xml:space="preserve">2.-Mejor conocimiento de la legislación relativa a la situación y necesidades específicas de los menores. </w:t>
      </w:r>
    </w:p>
    <w:p w:rsidR="002E10E9" w:rsidRDefault="002E10E9" w:rsidP="002E10E9">
      <w:pPr>
        <w:jc w:val="both"/>
        <w:rPr>
          <w:lang w:val="es-ES"/>
        </w:rPr>
      </w:pPr>
    </w:p>
    <w:p w:rsidR="002E10E9" w:rsidRPr="007C6045" w:rsidRDefault="002E10E9" w:rsidP="002E10E9">
      <w:pPr>
        <w:jc w:val="both"/>
        <w:rPr>
          <w:u w:val="single"/>
          <w:lang w:val="es-ES"/>
        </w:rPr>
      </w:pPr>
      <w:r w:rsidRPr="007C6045">
        <w:rPr>
          <w:u w:val="single"/>
          <w:lang w:val="es-ES"/>
        </w:rPr>
        <w:t>Componentes de la Acción:</w:t>
      </w:r>
    </w:p>
    <w:p w:rsidR="002E10E9" w:rsidRDefault="002E10E9" w:rsidP="002E10E9">
      <w:pPr>
        <w:jc w:val="both"/>
        <w:rPr>
          <w:lang w:val="es-ES"/>
        </w:rPr>
      </w:pPr>
    </w:p>
    <w:p w:rsidR="002E10E9" w:rsidRDefault="002E10E9" w:rsidP="007C6045">
      <w:pPr>
        <w:ind w:left="708"/>
        <w:jc w:val="both"/>
        <w:rPr>
          <w:lang w:val="es-ES"/>
        </w:rPr>
      </w:pPr>
      <w:r>
        <w:rPr>
          <w:lang w:val="es-ES"/>
        </w:rPr>
        <w:t>1º Ministerio de Justicia de Egipto</w:t>
      </w:r>
    </w:p>
    <w:p w:rsidR="002E10E9" w:rsidRPr="00E3697E" w:rsidRDefault="002E10E9" w:rsidP="007C6045">
      <w:pPr>
        <w:ind w:left="708"/>
        <w:jc w:val="both"/>
        <w:rPr>
          <w:b/>
          <w:lang w:val="es-ES"/>
        </w:rPr>
      </w:pPr>
      <w:r w:rsidRPr="00E3697E">
        <w:rPr>
          <w:b/>
          <w:lang w:val="es-ES"/>
        </w:rPr>
        <w:t>2ºCentro Nacional de Estudios Judiciales</w:t>
      </w:r>
    </w:p>
    <w:p w:rsidR="002E10E9" w:rsidRDefault="002E10E9" w:rsidP="007C6045">
      <w:pPr>
        <w:ind w:left="708"/>
        <w:jc w:val="both"/>
        <w:rPr>
          <w:lang w:val="es-ES"/>
        </w:rPr>
      </w:pPr>
      <w:r>
        <w:rPr>
          <w:lang w:val="es-ES"/>
        </w:rPr>
        <w:t>3ºCorte de casación</w:t>
      </w:r>
    </w:p>
    <w:p w:rsidR="002E10E9" w:rsidRDefault="002E10E9" w:rsidP="007C6045">
      <w:pPr>
        <w:ind w:left="708"/>
        <w:jc w:val="both"/>
        <w:rPr>
          <w:lang w:val="es-ES"/>
        </w:rPr>
      </w:pPr>
      <w:r>
        <w:rPr>
          <w:lang w:val="es-ES"/>
        </w:rPr>
        <w:t>4ºCentro de Información Judicial</w:t>
      </w:r>
    </w:p>
    <w:p w:rsidR="002E10E9" w:rsidRDefault="002E10E9" w:rsidP="007C6045">
      <w:pPr>
        <w:ind w:left="708"/>
        <w:jc w:val="both"/>
        <w:rPr>
          <w:lang w:val="es-ES"/>
        </w:rPr>
      </w:pPr>
      <w:r>
        <w:rPr>
          <w:lang w:val="es-ES"/>
        </w:rPr>
        <w:t>5º</w:t>
      </w:r>
      <w:r w:rsidR="009B3DEF">
        <w:rPr>
          <w:lang w:val="es-ES"/>
        </w:rPr>
        <w:t xml:space="preserve"> Tribunales de Menores.</w:t>
      </w:r>
    </w:p>
    <w:p w:rsidR="00BD202F" w:rsidRDefault="00BD202F" w:rsidP="00BD202F">
      <w:pPr>
        <w:jc w:val="both"/>
        <w:rPr>
          <w:lang w:val="es-ES"/>
        </w:rPr>
      </w:pPr>
    </w:p>
    <w:p w:rsidR="00BD202F" w:rsidRDefault="00BD202F" w:rsidP="00BD202F">
      <w:pPr>
        <w:jc w:val="both"/>
        <w:rPr>
          <w:lang w:val="es-ES"/>
        </w:rPr>
      </w:pPr>
      <w:r w:rsidRPr="00BD202F">
        <w:rPr>
          <w:lang w:val="es-ES"/>
        </w:rPr>
        <w:t xml:space="preserve">Dentro de la modernización del Ministerio de Justicia, a AECID le corresponde el apoyo al fortalecimiento del </w:t>
      </w:r>
      <w:r w:rsidRPr="00BD202F">
        <w:rPr>
          <w:b/>
          <w:lang w:val="es-ES"/>
        </w:rPr>
        <w:t>Centro Nacional de Estudios Judiciales (CNEJ)</w:t>
      </w:r>
      <w:r w:rsidRPr="00BD202F">
        <w:rPr>
          <w:lang w:val="es-ES"/>
        </w:rPr>
        <w:t>, como Institución de formación avanzada y continua</w:t>
      </w:r>
      <w:r>
        <w:rPr>
          <w:lang w:val="es-ES"/>
        </w:rPr>
        <w:t>.</w:t>
      </w:r>
    </w:p>
    <w:p w:rsidR="00E3697E" w:rsidRDefault="00E3697E" w:rsidP="002E10E9">
      <w:pPr>
        <w:jc w:val="both"/>
        <w:rPr>
          <w:lang w:val="es-ES"/>
        </w:rPr>
      </w:pPr>
    </w:p>
    <w:p w:rsidR="00BD202F" w:rsidRDefault="007C6045" w:rsidP="002E10E9">
      <w:pPr>
        <w:jc w:val="both"/>
        <w:rPr>
          <w:b/>
          <w:lang w:val="es-ES"/>
        </w:rPr>
      </w:pPr>
      <w:r>
        <w:rPr>
          <w:b/>
          <w:lang w:val="es-ES"/>
        </w:rPr>
        <w:t xml:space="preserve">FUNCIONES ESPECÍFICAS DEL EXPERTO/A </w:t>
      </w:r>
      <w:proofErr w:type="spellStart"/>
      <w:r>
        <w:rPr>
          <w:b/>
          <w:lang w:val="es-ES"/>
        </w:rPr>
        <w:t>A</w:t>
      </w:r>
      <w:proofErr w:type="spellEnd"/>
      <w:r>
        <w:rPr>
          <w:b/>
          <w:lang w:val="es-ES"/>
        </w:rPr>
        <w:t xml:space="preserve"> </w:t>
      </w:r>
      <w:r w:rsidR="00BD202F">
        <w:rPr>
          <w:b/>
          <w:lang w:val="es-ES"/>
        </w:rPr>
        <w:t>LARGO</w:t>
      </w:r>
      <w:r>
        <w:rPr>
          <w:b/>
          <w:lang w:val="es-ES"/>
        </w:rPr>
        <w:t xml:space="preserve"> PLAZO: </w:t>
      </w:r>
    </w:p>
    <w:p w:rsidR="00BD202F" w:rsidRDefault="00BD202F" w:rsidP="002E10E9">
      <w:pPr>
        <w:jc w:val="both"/>
        <w:rPr>
          <w:b/>
          <w:lang w:val="es-ES"/>
        </w:rPr>
      </w:pPr>
    </w:p>
    <w:p w:rsidR="00BD202F" w:rsidRPr="00BD202F" w:rsidRDefault="00BD202F" w:rsidP="00BD202F">
      <w:pPr>
        <w:jc w:val="both"/>
        <w:rPr>
          <w:lang w:val="es-ES"/>
        </w:rPr>
      </w:pPr>
      <w:r w:rsidRPr="00BD202F">
        <w:rPr>
          <w:lang w:val="es-ES"/>
        </w:rPr>
        <w:t>El</w:t>
      </w:r>
      <w:r>
        <w:rPr>
          <w:lang w:val="es-ES"/>
        </w:rPr>
        <w:t xml:space="preserve"> </w:t>
      </w:r>
      <w:r w:rsidRPr="00BD202F">
        <w:rPr>
          <w:lang w:val="es-ES"/>
        </w:rPr>
        <w:t>experto</w:t>
      </w:r>
      <w:r>
        <w:rPr>
          <w:lang w:val="es-ES"/>
        </w:rPr>
        <w:t>/a</w:t>
      </w:r>
      <w:r w:rsidRPr="00BD202F">
        <w:rPr>
          <w:lang w:val="es-ES"/>
        </w:rPr>
        <w:t xml:space="preserve"> </w:t>
      </w:r>
      <w:r>
        <w:rPr>
          <w:lang w:val="es-ES"/>
        </w:rPr>
        <w:t xml:space="preserve">seleccionado/a </w:t>
      </w:r>
      <w:r w:rsidRPr="00BD202F">
        <w:rPr>
          <w:lang w:val="es-ES"/>
        </w:rPr>
        <w:t xml:space="preserve">realizará sus funciones bajo la dirección del Jefe del Departamento de Cooperación con el Mundo Árabe y Asia de la AECID y en coordinación con el Project </w:t>
      </w:r>
      <w:r>
        <w:rPr>
          <w:lang w:val="es-ES"/>
        </w:rPr>
        <w:t>L</w:t>
      </w:r>
      <w:r w:rsidRPr="00BD202F">
        <w:rPr>
          <w:lang w:val="es-ES"/>
        </w:rPr>
        <w:t xml:space="preserve">eader del proyecto, orientando su actividad a la consecución de los objetivos fijados para la AECID en relación con el </w:t>
      </w:r>
      <w:r w:rsidRPr="00BD202F">
        <w:rPr>
          <w:b/>
          <w:lang w:val="es-ES"/>
        </w:rPr>
        <w:t>Centro Nacional de Estudios Judiciales (CNEJ)</w:t>
      </w:r>
      <w:r w:rsidRPr="00BD202F">
        <w:rPr>
          <w:lang w:val="es-ES"/>
        </w:rPr>
        <w:t xml:space="preserve">, incidiendo en el </w:t>
      </w:r>
      <w:r w:rsidRPr="00BD202F">
        <w:rPr>
          <w:b/>
          <w:lang w:val="es-ES"/>
        </w:rPr>
        <w:t>componente formativo</w:t>
      </w:r>
      <w:r w:rsidRPr="00BD202F">
        <w:rPr>
          <w:lang w:val="es-ES"/>
        </w:rPr>
        <w:t xml:space="preserve"> de la actuación, mediante el intercambio de experiencias, y la organización de cursos, seminarios y conferencias, y el desarrollo de materiales de capacitación.</w:t>
      </w:r>
    </w:p>
    <w:p w:rsidR="00BD202F" w:rsidRDefault="00BD202F" w:rsidP="002E10E9">
      <w:pPr>
        <w:jc w:val="both"/>
        <w:rPr>
          <w:b/>
          <w:lang w:val="es-ES"/>
        </w:rPr>
      </w:pPr>
    </w:p>
    <w:p w:rsidR="00D329DD" w:rsidRPr="00D329DD" w:rsidRDefault="00BD202F" w:rsidP="002E10E9">
      <w:pPr>
        <w:jc w:val="both"/>
        <w:rPr>
          <w:lang w:val="es-ES"/>
        </w:rPr>
      </w:pPr>
      <w:r w:rsidRPr="00BD202F">
        <w:rPr>
          <w:lang w:val="es-ES"/>
        </w:rPr>
        <w:t>Para ello</w:t>
      </w:r>
      <w:r>
        <w:rPr>
          <w:b/>
          <w:lang w:val="es-ES"/>
        </w:rPr>
        <w:t xml:space="preserve"> </w:t>
      </w:r>
      <w:r w:rsidR="00D329DD" w:rsidRPr="00D329DD">
        <w:rPr>
          <w:lang w:val="es-ES"/>
        </w:rPr>
        <w:t xml:space="preserve">contará con el apoyo de un Project Manager contratado por la AECID para </w:t>
      </w:r>
      <w:r>
        <w:rPr>
          <w:lang w:val="es-ES"/>
        </w:rPr>
        <w:t xml:space="preserve">las </w:t>
      </w:r>
      <w:r w:rsidR="00D329DD" w:rsidRPr="00D329DD">
        <w:rPr>
          <w:lang w:val="es-ES"/>
        </w:rPr>
        <w:t>funciones administrativas, económicas y logísticas relacionadas con la participación de expertos a corto plazo. A continuación se detallan las funciones del experto</w:t>
      </w:r>
      <w:r w:rsidR="00D329DD">
        <w:rPr>
          <w:lang w:val="es-ES"/>
        </w:rPr>
        <w:t>/a</w:t>
      </w:r>
      <w:r w:rsidR="00D329DD" w:rsidRPr="00D329DD">
        <w:rPr>
          <w:lang w:val="es-ES"/>
        </w:rPr>
        <w:t xml:space="preserve"> </w:t>
      </w:r>
      <w:proofErr w:type="spellStart"/>
      <w:r w:rsidR="00D329DD" w:rsidRPr="00D329DD">
        <w:rPr>
          <w:lang w:val="es-ES"/>
        </w:rPr>
        <w:t>a</w:t>
      </w:r>
      <w:proofErr w:type="spellEnd"/>
      <w:r w:rsidR="00D329DD" w:rsidRPr="00D329DD">
        <w:rPr>
          <w:lang w:val="es-ES"/>
        </w:rPr>
        <w:t xml:space="preserve"> </w:t>
      </w:r>
      <w:r>
        <w:rPr>
          <w:lang w:val="es-ES"/>
        </w:rPr>
        <w:t>largo</w:t>
      </w:r>
      <w:r w:rsidR="00D329DD" w:rsidRPr="00D329DD">
        <w:rPr>
          <w:lang w:val="es-ES"/>
        </w:rPr>
        <w:t xml:space="preserve"> plazo:</w:t>
      </w:r>
    </w:p>
    <w:p w:rsidR="00D329DD" w:rsidRDefault="00D329DD" w:rsidP="002E10E9">
      <w:pPr>
        <w:jc w:val="both"/>
        <w:rPr>
          <w:b/>
          <w:color w:val="92D050"/>
          <w:lang w:val="es-ES"/>
        </w:rPr>
      </w:pPr>
    </w:p>
    <w:p w:rsidR="00E3697E" w:rsidRPr="00D329DD" w:rsidRDefault="00E3697E" w:rsidP="00D329DD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D329DD">
        <w:rPr>
          <w:b/>
          <w:u w:val="single"/>
          <w:lang w:val="es-ES"/>
        </w:rPr>
        <w:t xml:space="preserve"> Evaluación y asesoramiento:</w:t>
      </w:r>
    </w:p>
    <w:p w:rsidR="009B3DEF" w:rsidRDefault="009B3DEF" w:rsidP="002E10E9">
      <w:pPr>
        <w:jc w:val="both"/>
        <w:rPr>
          <w:lang w:val="es-ES"/>
        </w:rPr>
      </w:pPr>
    </w:p>
    <w:p w:rsidR="009B3DEF" w:rsidRDefault="009B3DEF" w:rsidP="002E10E9">
      <w:pPr>
        <w:jc w:val="both"/>
        <w:rPr>
          <w:lang w:val="es-ES"/>
        </w:rPr>
      </w:pPr>
      <w:r>
        <w:rPr>
          <w:lang w:val="es-ES"/>
        </w:rPr>
        <w:t xml:space="preserve">La acción a coordinar por España está centrada en el componente 2 (Centro Nacional de </w:t>
      </w:r>
      <w:r w:rsidR="00BD202F">
        <w:rPr>
          <w:lang w:val="es-ES"/>
        </w:rPr>
        <w:t>Estudios Judiciales de Egipto).</w:t>
      </w:r>
    </w:p>
    <w:p w:rsidR="00424AF2" w:rsidRDefault="00424AF2" w:rsidP="002E10E9">
      <w:pPr>
        <w:jc w:val="both"/>
        <w:rPr>
          <w:lang w:val="es-ES"/>
        </w:rPr>
      </w:pPr>
    </w:p>
    <w:p w:rsidR="00791213" w:rsidRDefault="00424AF2" w:rsidP="002E10E9">
      <w:pPr>
        <w:jc w:val="both"/>
        <w:rPr>
          <w:lang w:val="es-ES"/>
        </w:rPr>
      </w:pPr>
      <w:r>
        <w:rPr>
          <w:lang w:val="es-ES"/>
        </w:rPr>
        <w:t>En la fase inicial (</w:t>
      </w:r>
      <w:proofErr w:type="spellStart"/>
      <w:r>
        <w:rPr>
          <w:lang w:val="es-ES"/>
        </w:rPr>
        <w:t>inception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phase</w:t>
      </w:r>
      <w:proofErr w:type="spellEnd"/>
      <w:r>
        <w:rPr>
          <w:lang w:val="es-ES"/>
        </w:rPr>
        <w:t xml:space="preserve">) que tendrá en los 6 primeros meses de la acción, la acción principal pasará por </w:t>
      </w:r>
      <w:r w:rsidR="00791213">
        <w:rPr>
          <w:lang w:val="es-ES"/>
        </w:rPr>
        <w:t xml:space="preserve">la elaboración de </w:t>
      </w:r>
      <w:r>
        <w:rPr>
          <w:lang w:val="es-ES"/>
        </w:rPr>
        <w:t>un estudio de la organización y funcionamiento del CNEJ, para así emitir un informe que detalle los problemas o deficiencias detectados y proponga soluciones o recomendaciones basadas en las mejores prácticas y estándares internacionales de formación judicial, con propuestas de currículos e itinerarios de formación inicial</w:t>
      </w:r>
      <w:r w:rsidR="00E3697E">
        <w:rPr>
          <w:lang w:val="es-ES"/>
        </w:rPr>
        <w:t>.</w:t>
      </w:r>
      <w:r w:rsidR="00791213">
        <w:rPr>
          <w:lang w:val="es-ES"/>
        </w:rPr>
        <w:t xml:space="preserve"> </w:t>
      </w:r>
    </w:p>
    <w:p w:rsidR="00791213" w:rsidRDefault="00791213" w:rsidP="002E10E9">
      <w:pPr>
        <w:jc w:val="both"/>
        <w:rPr>
          <w:lang w:val="es-ES"/>
        </w:rPr>
      </w:pPr>
    </w:p>
    <w:p w:rsidR="00424AF2" w:rsidRDefault="00791213" w:rsidP="002E10E9">
      <w:pPr>
        <w:jc w:val="both"/>
        <w:rPr>
          <w:lang w:val="es-ES"/>
        </w:rPr>
      </w:pPr>
      <w:r>
        <w:rPr>
          <w:lang w:val="es-ES"/>
        </w:rPr>
        <w:t>Así mismo, se prevé que el experto/a tenga que elaborar informes sobre el funcionamiento del componente de formación que se presentarán en las reuniones de seguimiento del proyecto que se convoquen por la UE y el Project leader del proyecto.</w:t>
      </w:r>
    </w:p>
    <w:p w:rsidR="007102A5" w:rsidRDefault="007102A5" w:rsidP="002E10E9">
      <w:pPr>
        <w:jc w:val="both"/>
        <w:rPr>
          <w:lang w:val="es-ES"/>
        </w:rPr>
      </w:pPr>
    </w:p>
    <w:p w:rsidR="00424AF2" w:rsidRDefault="0013642D" w:rsidP="002E10E9">
      <w:pPr>
        <w:jc w:val="both"/>
        <w:rPr>
          <w:lang w:val="es-ES"/>
        </w:rPr>
      </w:pPr>
      <w:r>
        <w:rPr>
          <w:lang w:val="es-ES"/>
        </w:rPr>
        <w:t>El objetivo del experto</w:t>
      </w:r>
      <w:r w:rsidR="007102A5">
        <w:rPr>
          <w:lang w:val="es-ES"/>
        </w:rPr>
        <w:t xml:space="preserve"> de medio plazo será la coordinación de las actividades principales relacionadas con la formación de cuadros judiciales, basado en un cambio de metodología de formación desde un sistema de clase magistral a otro basado en trabajo participativo y práctico en grupos más reducidos, y con apoyo de medios informáticos. </w:t>
      </w:r>
    </w:p>
    <w:p w:rsidR="00E3697E" w:rsidRDefault="00E3697E" w:rsidP="002E10E9">
      <w:pPr>
        <w:jc w:val="both"/>
        <w:rPr>
          <w:lang w:val="es-ES"/>
        </w:rPr>
      </w:pPr>
    </w:p>
    <w:p w:rsidR="00E3697E" w:rsidRDefault="00E3697E" w:rsidP="002E10E9">
      <w:pPr>
        <w:jc w:val="both"/>
        <w:rPr>
          <w:lang w:val="es-ES"/>
        </w:rPr>
      </w:pPr>
    </w:p>
    <w:p w:rsidR="00E3697E" w:rsidRDefault="00E3697E" w:rsidP="00D329DD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7C6045">
        <w:rPr>
          <w:b/>
          <w:u w:val="single"/>
          <w:lang w:val="es-ES"/>
        </w:rPr>
        <w:t>Coordinación co</w:t>
      </w:r>
      <w:r w:rsidR="00D329DD">
        <w:rPr>
          <w:b/>
          <w:u w:val="single"/>
          <w:lang w:val="es-ES"/>
        </w:rPr>
        <w:t>n otros componentes del proyecto</w:t>
      </w:r>
      <w:r w:rsidR="007C6045">
        <w:rPr>
          <w:b/>
          <w:u w:val="single"/>
          <w:lang w:val="es-ES"/>
        </w:rPr>
        <w:t>:</w:t>
      </w:r>
    </w:p>
    <w:p w:rsidR="007C6045" w:rsidRPr="007C6045" w:rsidRDefault="007C6045" w:rsidP="002E10E9">
      <w:pPr>
        <w:jc w:val="both"/>
        <w:rPr>
          <w:b/>
          <w:u w:val="single"/>
          <w:lang w:val="es-ES"/>
        </w:rPr>
      </w:pPr>
    </w:p>
    <w:p w:rsidR="007102A5" w:rsidRDefault="007102A5" w:rsidP="002E10E9">
      <w:pPr>
        <w:jc w:val="both"/>
        <w:rPr>
          <w:lang w:val="es-ES"/>
        </w:rPr>
      </w:pPr>
      <w:r>
        <w:rPr>
          <w:lang w:val="es-ES"/>
        </w:rPr>
        <w:t>Es de especial interés la inmersión en el uso de nuevas tecnologías de información y comunicación aplicadas a la Administración de Justicia, para lo cual será necesaria un</w:t>
      </w:r>
      <w:r w:rsidR="00791213">
        <w:rPr>
          <w:lang w:val="es-ES"/>
        </w:rPr>
        <w:t>a</w:t>
      </w:r>
      <w:r>
        <w:rPr>
          <w:lang w:val="es-ES"/>
        </w:rPr>
        <w:t xml:space="preserve"> estrecha colaboración con el componente 4 de la acción (Centro de Información Judicial) y </w:t>
      </w:r>
      <w:r w:rsidR="00424AF2">
        <w:rPr>
          <w:lang w:val="es-ES"/>
        </w:rPr>
        <w:t>con otros proyectos internacionales que tienen como objeto la informatización judicial (OCDE/USAID).</w:t>
      </w:r>
    </w:p>
    <w:p w:rsidR="00E3697E" w:rsidRDefault="00E3697E" w:rsidP="002E10E9">
      <w:pPr>
        <w:jc w:val="both"/>
        <w:rPr>
          <w:lang w:val="es-ES"/>
        </w:rPr>
      </w:pPr>
    </w:p>
    <w:p w:rsidR="00E3697E" w:rsidRPr="007C6045" w:rsidRDefault="00E3697E" w:rsidP="002E10E9">
      <w:pPr>
        <w:jc w:val="both"/>
        <w:rPr>
          <w:lang w:val="es-ES"/>
        </w:rPr>
      </w:pPr>
      <w:r w:rsidRPr="007C6045">
        <w:rPr>
          <w:lang w:val="es-ES"/>
        </w:rPr>
        <w:t>Igualmente deberá coordinarse con las acciones específicas formativas previstas para el componente 5 (Justicia Juvenil).</w:t>
      </w:r>
    </w:p>
    <w:p w:rsidR="00E3697E" w:rsidRDefault="00E3697E" w:rsidP="002E10E9">
      <w:pPr>
        <w:jc w:val="both"/>
        <w:rPr>
          <w:color w:val="92D050"/>
          <w:lang w:val="es-ES"/>
        </w:rPr>
      </w:pPr>
    </w:p>
    <w:p w:rsidR="00E3697E" w:rsidRPr="007C6045" w:rsidRDefault="00E3697E" w:rsidP="00D329DD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 w:rsidRPr="007C6045">
        <w:rPr>
          <w:b/>
          <w:u w:val="single"/>
          <w:lang w:val="es-ES"/>
        </w:rPr>
        <w:t xml:space="preserve"> Coordinación de los expertos de corto plazo (STE)</w:t>
      </w:r>
    </w:p>
    <w:p w:rsidR="00424AF2" w:rsidRDefault="00424AF2" w:rsidP="002E10E9">
      <w:pPr>
        <w:jc w:val="both"/>
        <w:rPr>
          <w:lang w:val="es-ES"/>
        </w:rPr>
      </w:pPr>
    </w:p>
    <w:p w:rsidR="00387A80" w:rsidRDefault="00387A80" w:rsidP="002E10E9">
      <w:pPr>
        <w:jc w:val="both"/>
        <w:rPr>
          <w:lang w:val="es-ES"/>
        </w:rPr>
      </w:pPr>
      <w:r>
        <w:rPr>
          <w:lang w:val="es-ES"/>
        </w:rPr>
        <w:t>Además se encargará de la coordinación de todos los expertos de corto plazo (STE) que impartirán cursos o seminarios, bien al propio personal del CNEJ (Formación de formadores), bien directamente a los receptores de formación inicial y continua. En este aspecto será esencial una adecuada coordinación en relación a las necesidades y objetivos específicos de formación en los demás componentes de la acc</w:t>
      </w:r>
      <w:r w:rsidR="00FB649C">
        <w:rPr>
          <w:lang w:val="es-ES"/>
        </w:rPr>
        <w:t>ión, en orden a garantizar que la selección de los expertos responda a los mejores estándares de excelencia internacional.</w:t>
      </w:r>
    </w:p>
    <w:p w:rsidR="00387A80" w:rsidRPr="00D329DD" w:rsidRDefault="00387A80" w:rsidP="00D329DD">
      <w:pPr>
        <w:pStyle w:val="Prrafodelista"/>
        <w:jc w:val="both"/>
        <w:rPr>
          <w:b/>
          <w:u w:val="single"/>
          <w:lang w:val="es-ES"/>
        </w:rPr>
      </w:pPr>
    </w:p>
    <w:p w:rsidR="00387A80" w:rsidRPr="007C6045" w:rsidRDefault="00791213" w:rsidP="00D329DD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Organización de </w:t>
      </w:r>
      <w:r w:rsidR="00387A80" w:rsidRPr="007C6045">
        <w:rPr>
          <w:b/>
          <w:u w:val="single"/>
          <w:lang w:val="es-ES"/>
        </w:rPr>
        <w:t>visitas de estudio a instituciones judiciales</w:t>
      </w:r>
      <w:r w:rsidR="00E3697E" w:rsidRPr="007C6045">
        <w:rPr>
          <w:b/>
          <w:u w:val="single"/>
          <w:lang w:val="es-ES"/>
        </w:rPr>
        <w:t xml:space="preserve"> españolas</w:t>
      </w:r>
      <w:r w:rsidR="00387A80" w:rsidRPr="007C6045">
        <w:rPr>
          <w:b/>
          <w:u w:val="single"/>
          <w:lang w:val="es-ES"/>
        </w:rPr>
        <w:t xml:space="preserve"> </w:t>
      </w:r>
      <w:r w:rsidR="00E3697E" w:rsidRPr="007C6045">
        <w:rPr>
          <w:b/>
          <w:u w:val="single"/>
          <w:lang w:val="es-ES"/>
        </w:rPr>
        <w:t xml:space="preserve">y </w:t>
      </w:r>
      <w:r w:rsidR="00387A80" w:rsidRPr="007C6045">
        <w:rPr>
          <w:b/>
          <w:u w:val="single"/>
          <w:lang w:val="es-ES"/>
        </w:rPr>
        <w:t>europeas de referencia.</w:t>
      </w:r>
    </w:p>
    <w:p w:rsidR="00E45980" w:rsidRDefault="00E45980" w:rsidP="005C092E">
      <w:pPr>
        <w:jc w:val="both"/>
        <w:rPr>
          <w:b/>
          <w:lang w:val="es-ES"/>
        </w:rPr>
      </w:pPr>
    </w:p>
    <w:p w:rsidR="00791213" w:rsidRPr="00D329DD" w:rsidRDefault="00D329DD" w:rsidP="00D329DD">
      <w:pPr>
        <w:pStyle w:val="Prrafodelista"/>
        <w:numPr>
          <w:ilvl w:val="0"/>
          <w:numId w:val="2"/>
        </w:num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Cualesquiera</w:t>
      </w:r>
      <w:r w:rsidR="00791213">
        <w:rPr>
          <w:b/>
          <w:u w:val="single"/>
          <w:lang w:val="es-ES"/>
        </w:rPr>
        <w:t xml:space="preserve"> otras actividades que sean necesarias para la buena implementación del componente de formación y del proyecto en su </w:t>
      </w:r>
      <w:r w:rsidR="00791213" w:rsidRPr="00791213">
        <w:rPr>
          <w:b/>
          <w:u w:val="single"/>
          <w:lang w:val="es-ES"/>
        </w:rPr>
        <w:t>conjunto</w:t>
      </w:r>
      <w:r>
        <w:rPr>
          <w:b/>
          <w:u w:val="single"/>
          <w:lang w:val="es-ES"/>
        </w:rPr>
        <w:t>,</w:t>
      </w:r>
      <w:r w:rsidR="00791213" w:rsidRPr="00D329DD">
        <w:rPr>
          <w:b/>
          <w:u w:val="single"/>
          <w:lang w:val="es-ES"/>
        </w:rPr>
        <w:t xml:space="preserve"> a requerimiento de la AECID.</w:t>
      </w:r>
    </w:p>
    <w:p w:rsidR="00E45980" w:rsidRPr="00E45980" w:rsidRDefault="00E45980" w:rsidP="005C092E">
      <w:pPr>
        <w:jc w:val="both"/>
        <w:rPr>
          <w:b/>
          <w:lang w:val="es-ES"/>
        </w:rPr>
      </w:pPr>
    </w:p>
    <w:sectPr w:rsidR="00E45980" w:rsidRPr="00E45980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13" w:rsidRDefault="00DE4013" w:rsidP="005C092E">
      <w:r>
        <w:separator/>
      </w:r>
    </w:p>
  </w:endnote>
  <w:endnote w:type="continuationSeparator" w:id="0">
    <w:p w:rsidR="00DE4013" w:rsidRDefault="00DE4013" w:rsidP="005C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600386"/>
      <w:docPartObj>
        <w:docPartGallery w:val="Page Numbers (Bottom of Page)"/>
        <w:docPartUnique/>
      </w:docPartObj>
    </w:sdtPr>
    <w:sdtEndPr/>
    <w:sdtContent>
      <w:p w:rsidR="00791213" w:rsidRDefault="0079121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EA9" w:rsidRPr="006A5EA9">
          <w:rPr>
            <w:noProof/>
            <w:lang w:val="es-ES"/>
          </w:rPr>
          <w:t>5</w:t>
        </w:r>
        <w:r>
          <w:fldChar w:fldCharType="end"/>
        </w:r>
      </w:p>
    </w:sdtContent>
  </w:sdt>
  <w:p w:rsidR="00FB649C" w:rsidRDefault="00FB64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13" w:rsidRDefault="00DE4013" w:rsidP="005C092E">
      <w:r>
        <w:separator/>
      </w:r>
    </w:p>
  </w:footnote>
  <w:footnote w:type="continuationSeparator" w:id="0">
    <w:p w:rsidR="00DE4013" w:rsidRDefault="00DE4013" w:rsidP="005C0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4731"/>
    <w:multiLevelType w:val="hybridMultilevel"/>
    <w:tmpl w:val="B832E00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31DBE"/>
    <w:multiLevelType w:val="hybridMultilevel"/>
    <w:tmpl w:val="7C368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2E"/>
    <w:rsid w:val="000172B5"/>
    <w:rsid w:val="00040DD1"/>
    <w:rsid w:val="000726ED"/>
    <w:rsid w:val="000B291C"/>
    <w:rsid w:val="0013642D"/>
    <w:rsid w:val="00143820"/>
    <w:rsid w:val="001C0534"/>
    <w:rsid w:val="00253E3C"/>
    <w:rsid w:val="002B14C9"/>
    <w:rsid w:val="002E10E9"/>
    <w:rsid w:val="002F7383"/>
    <w:rsid w:val="00325411"/>
    <w:rsid w:val="00387A80"/>
    <w:rsid w:val="003F147A"/>
    <w:rsid w:val="00403416"/>
    <w:rsid w:val="0042181C"/>
    <w:rsid w:val="00424AF2"/>
    <w:rsid w:val="004A59DB"/>
    <w:rsid w:val="004B5CBC"/>
    <w:rsid w:val="005067A9"/>
    <w:rsid w:val="005C092E"/>
    <w:rsid w:val="00630A47"/>
    <w:rsid w:val="006A5EA9"/>
    <w:rsid w:val="006C24C7"/>
    <w:rsid w:val="007102A5"/>
    <w:rsid w:val="00791213"/>
    <w:rsid w:val="007C6045"/>
    <w:rsid w:val="009B3DEF"/>
    <w:rsid w:val="009F0164"/>
    <w:rsid w:val="00A160F5"/>
    <w:rsid w:val="00AB2C3F"/>
    <w:rsid w:val="00B83F5C"/>
    <w:rsid w:val="00BB3D28"/>
    <w:rsid w:val="00BD202F"/>
    <w:rsid w:val="00C24191"/>
    <w:rsid w:val="00D07AD6"/>
    <w:rsid w:val="00D329DD"/>
    <w:rsid w:val="00D92E55"/>
    <w:rsid w:val="00DE0C32"/>
    <w:rsid w:val="00DE4013"/>
    <w:rsid w:val="00E266EE"/>
    <w:rsid w:val="00E3697E"/>
    <w:rsid w:val="00E45980"/>
    <w:rsid w:val="00E94B0F"/>
    <w:rsid w:val="00F1611C"/>
    <w:rsid w:val="00F50CC2"/>
    <w:rsid w:val="00F604AF"/>
    <w:rsid w:val="00FB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2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 Char Char Char,single space,footnote text,Fußnote,Footnote,WB-Fußnotentext,WB-Fußnotentext Char Char,Fußnotentext Char,FOOTNOTES,fn,Geneva 9,Font: Geneva 9,Boston 10,f"/>
    <w:basedOn w:val="Normal"/>
    <w:link w:val="TextonotapieCar"/>
    <w:autoRedefine/>
    <w:qFormat/>
    <w:rsid w:val="005C092E"/>
    <w:pPr>
      <w:widowControl w:val="0"/>
      <w:tabs>
        <w:tab w:val="left" w:pos="284"/>
      </w:tabs>
      <w:spacing w:after="60"/>
      <w:ind w:left="284" w:hanging="284"/>
      <w:jc w:val="both"/>
    </w:pPr>
    <w:rPr>
      <w:rFonts w:eastAsia="Calibri"/>
      <w:sz w:val="20"/>
      <w:szCs w:val="22"/>
      <w:lang w:eastAsia="en-US"/>
    </w:rPr>
  </w:style>
  <w:style w:type="character" w:customStyle="1" w:styleId="TextonotapieCar">
    <w:name w:val="Texto nota pie Car"/>
    <w:aliases w:val=" Char Char Char Car,single space Car,footnote text Car,Fußnote Car,Footnote Car,WB-Fußnotentext Car,WB-Fußnotentext Char Char Car,Fußnotentext Char Car,FOOTNOTES Car,fn Car,Geneva 9 Car,Font: Geneva 9 Car,Boston 10 Car,f Car"/>
    <w:basedOn w:val="Fuentedeprrafopredeter"/>
    <w:link w:val="Textonotapie"/>
    <w:rsid w:val="005C092E"/>
    <w:rPr>
      <w:rFonts w:ascii="Calibri" w:eastAsia="Calibri" w:hAnsi="Calibri" w:cs="Times New Roman"/>
      <w:sz w:val="20"/>
      <w:lang w:val="en-GB"/>
    </w:rPr>
  </w:style>
  <w:style w:type="character" w:styleId="Refdenotaalpie">
    <w:name w:val="footnote reference"/>
    <w:link w:val="Char2"/>
    <w:qFormat/>
    <w:rsid w:val="005C092E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Refdenotaalpie"/>
    <w:rsid w:val="005C092E"/>
    <w:pPr>
      <w:spacing w:after="160" w:line="240" w:lineRule="exact"/>
    </w:pPr>
    <w:rPr>
      <w:rFonts w:ascii="Times New Roman" w:eastAsiaTheme="minorHAnsi" w:hAnsi="Times New Roman" w:cstheme="minorBidi"/>
      <w:sz w:val="22"/>
      <w:szCs w:val="16"/>
      <w:vertAlign w:val="superscript"/>
      <w:lang w:val="en-US" w:eastAsia="en-US"/>
    </w:rPr>
  </w:style>
  <w:style w:type="paragraph" w:customStyle="1" w:styleId="SubTitle1">
    <w:name w:val="SubTitle 1"/>
    <w:basedOn w:val="Normal"/>
    <w:next w:val="Normal"/>
    <w:rsid w:val="005C092E"/>
    <w:pPr>
      <w:spacing w:after="240"/>
      <w:jc w:val="center"/>
    </w:pPr>
    <w:rPr>
      <w:b/>
      <w:snapToGrid w:val="0"/>
      <w:sz w:val="40"/>
      <w:szCs w:val="20"/>
      <w:lang w:val="fr-F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9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92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Encabezado">
    <w:name w:val="header"/>
    <w:basedOn w:val="Normal"/>
    <w:link w:val="EncabezadoCar"/>
    <w:uiPriority w:val="99"/>
    <w:unhideWhenUsed/>
    <w:rsid w:val="00FB64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49C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FB64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49C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7C60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2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2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aliases w:val=" Char Char Char,single space,footnote text,Fußnote,Footnote,WB-Fußnotentext,WB-Fußnotentext Char Char,Fußnotentext Char,FOOTNOTES,fn,Geneva 9,Font: Geneva 9,Boston 10,f"/>
    <w:basedOn w:val="Normal"/>
    <w:link w:val="TextonotapieCar"/>
    <w:autoRedefine/>
    <w:qFormat/>
    <w:rsid w:val="005C092E"/>
    <w:pPr>
      <w:widowControl w:val="0"/>
      <w:tabs>
        <w:tab w:val="left" w:pos="284"/>
      </w:tabs>
      <w:spacing w:after="60"/>
      <w:ind w:left="284" w:hanging="284"/>
      <w:jc w:val="both"/>
    </w:pPr>
    <w:rPr>
      <w:rFonts w:eastAsia="Calibri"/>
      <w:sz w:val="20"/>
      <w:szCs w:val="22"/>
      <w:lang w:eastAsia="en-US"/>
    </w:rPr>
  </w:style>
  <w:style w:type="character" w:customStyle="1" w:styleId="TextonotapieCar">
    <w:name w:val="Texto nota pie Car"/>
    <w:aliases w:val=" Char Char Char Car,single space Car,footnote text Car,Fußnote Car,Footnote Car,WB-Fußnotentext Car,WB-Fußnotentext Char Char Car,Fußnotentext Char Car,FOOTNOTES Car,fn Car,Geneva 9 Car,Font: Geneva 9 Car,Boston 10 Car,f Car"/>
    <w:basedOn w:val="Fuentedeprrafopredeter"/>
    <w:link w:val="Textonotapie"/>
    <w:rsid w:val="005C092E"/>
    <w:rPr>
      <w:rFonts w:ascii="Calibri" w:eastAsia="Calibri" w:hAnsi="Calibri" w:cs="Times New Roman"/>
      <w:sz w:val="20"/>
      <w:lang w:val="en-GB"/>
    </w:rPr>
  </w:style>
  <w:style w:type="character" w:styleId="Refdenotaalpie">
    <w:name w:val="footnote reference"/>
    <w:link w:val="Char2"/>
    <w:qFormat/>
    <w:rsid w:val="005C092E"/>
    <w:rPr>
      <w:rFonts w:ascii="Times New Roman" w:hAnsi="Times New Roman"/>
      <w:szCs w:val="16"/>
      <w:vertAlign w:val="superscript"/>
      <w:lang w:val="en-US"/>
    </w:rPr>
  </w:style>
  <w:style w:type="paragraph" w:customStyle="1" w:styleId="Char2">
    <w:name w:val="Char2"/>
    <w:basedOn w:val="Normal"/>
    <w:link w:val="Refdenotaalpie"/>
    <w:rsid w:val="005C092E"/>
    <w:pPr>
      <w:spacing w:after="160" w:line="240" w:lineRule="exact"/>
    </w:pPr>
    <w:rPr>
      <w:rFonts w:ascii="Times New Roman" w:eastAsiaTheme="minorHAnsi" w:hAnsi="Times New Roman" w:cstheme="minorBidi"/>
      <w:sz w:val="22"/>
      <w:szCs w:val="16"/>
      <w:vertAlign w:val="superscript"/>
      <w:lang w:val="en-US" w:eastAsia="en-US"/>
    </w:rPr>
  </w:style>
  <w:style w:type="paragraph" w:customStyle="1" w:styleId="SubTitle1">
    <w:name w:val="SubTitle 1"/>
    <w:basedOn w:val="Normal"/>
    <w:next w:val="Normal"/>
    <w:rsid w:val="005C092E"/>
    <w:pPr>
      <w:spacing w:after="240"/>
      <w:jc w:val="center"/>
    </w:pPr>
    <w:rPr>
      <w:b/>
      <w:snapToGrid w:val="0"/>
      <w:sz w:val="40"/>
      <w:szCs w:val="20"/>
      <w:lang w:val="fr-F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9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92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Encabezado">
    <w:name w:val="header"/>
    <w:basedOn w:val="Normal"/>
    <w:link w:val="EncabezadoCar"/>
    <w:uiPriority w:val="99"/>
    <w:unhideWhenUsed/>
    <w:rsid w:val="00FB64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49C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FB64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49C"/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Prrafodelista">
    <w:name w:val="List Paragraph"/>
    <w:basedOn w:val="Normal"/>
    <w:uiPriority w:val="34"/>
    <w:qFormat/>
    <w:rsid w:val="007C60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92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oe.es/diario_boe/txt.php?id=BOE-A-2002-10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en/documents/curriculum-vita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1491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 CARDENETE, ANTONIO</dc:creator>
  <cp:lastModifiedBy>SIERRA MONTALVO, MARIA CRISTINA</cp:lastModifiedBy>
  <cp:revision>3</cp:revision>
  <dcterms:created xsi:type="dcterms:W3CDTF">2015-06-30T07:43:00Z</dcterms:created>
  <dcterms:modified xsi:type="dcterms:W3CDTF">2015-06-30T07:45:00Z</dcterms:modified>
</cp:coreProperties>
</file>